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58D40" w14:textId="68D476F4" w:rsidR="008B704F" w:rsidRDefault="002D3BB0" w:rsidP="004F52F3">
      <w:pPr>
        <w:pStyle w:val="Listeafsnit1"/>
        <w:spacing w:after="200" w:line="360" w:lineRule="auto"/>
        <w:ind w:left="360"/>
        <w:rPr>
          <w:rFonts w:cs="Arial"/>
          <w:b/>
          <w:szCs w:val="22"/>
          <w:lang w:val="en-GB"/>
        </w:rPr>
      </w:pPr>
      <w:r>
        <w:rPr>
          <w:rFonts w:cs="Arial"/>
          <w:b/>
          <w:szCs w:val="22"/>
          <w:lang w:val="en-GB"/>
        </w:rPr>
        <w:t xml:space="preserve">Short and </w:t>
      </w:r>
      <w:r w:rsidR="00366BD5">
        <w:rPr>
          <w:rFonts w:cs="Arial"/>
          <w:b/>
          <w:szCs w:val="22"/>
          <w:lang w:val="en-GB"/>
        </w:rPr>
        <w:t>l</w:t>
      </w:r>
      <w:r>
        <w:rPr>
          <w:rFonts w:cs="Arial"/>
          <w:b/>
          <w:szCs w:val="22"/>
          <w:lang w:val="en-GB"/>
        </w:rPr>
        <w:t>ong-term government bond yield</w:t>
      </w:r>
      <w:r w:rsidR="006310E8">
        <w:rPr>
          <w:rFonts w:cs="Arial"/>
          <w:b/>
          <w:szCs w:val="22"/>
          <w:lang w:val="en-GB"/>
        </w:rPr>
        <w:t>:</w:t>
      </w:r>
      <w:r>
        <w:rPr>
          <w:rFonts w:cs="Arial"/>
          <w:b/>
          <w:szCs w:val="22"/>
          <w:lang w:val="en-GB"/>
        </w:rPr>
        <w:t xml:space="preserve"> historical reconstruction </w:t>
      </w:r>
      <w:r w:rsidR="006310E8">
        <w:rPr>
          <w:rFonts w:cs="Arial"/>
          <w:b/>
          <w:szCs w:val="22"/>
          <w:lang w:val="en-GB"/>
        </w:rPr>
        <w:t xml:space="preserve">for Italy </w:t>
      </w:r>
      <w:r w:rsidR="008B704F">
        <w:rPr>
          <w:rFonts w:cs="Arial"/>
          <w:b/>
          <w:szCs w:val="22"/>
          <w:lang w:val="en-GB"/>
        </w:rPr>
        <w:t xml:space="preserve">1862-2016 </w:t>
      </w:r>
    </w:p>
    <w:p w14:paraId="2DDEB1C7" w14:textId="33912187" w:rsidR="0062079F" w:rsidRDefault="002D3BB0" w:rsidP="004F52F3">
      <w:pPr>
        <w:pStyle w:val="Listeafsnit1"/>
        <w:spacing w:after="200" w:line="360" w:lineRule="auto"/>
        <w:ind w:left="360"/>
        <w:rPr>
          <w:rFonts w:cs="Arial"/>
          <w:b/>
          <w:iCs/>
          <w:lang w:val="en-US" w:eastAsia="nb-NO"/>
        </w:rPr>
      </w:pPr>
      <w:r>
        <w:rPr>
          <w:rFonts w:cs="Arial"/>
          <w:b/>
          <w:szCs w:val="22"/>
          <w:lang w:val="en-GB"/>
        </w:rPr>
        <w:t>(</w:t>
      </w:r>
      <w:r w:rsidR="0062079F" w:rsidRPr="0062079F">
        <w:rPr>
          <w:rFonts w:cs="Arial"/>
          <w:b/>
          <w:iCs/>
          <w:lang w:val="en-US" w:eastAsia="nb-NO"/>
        </w:rPr>
        <w:t xml:space="preserve">Piselli and Vercelli </w:t>
      </w:r>
      <w:r>
        <w:rPr>
          <w:rFonts w:cs="Arial"/>
          <w:b/>
          <w:iCs/>
          <w:lang w:val="en-US" w:eastAsia="nb-NO"/>
        </w:rPr>
        <w:t>2023</w:t>
      </w:r>
      <w:r w:rsidR="0062079F" w:rsidRPr="0062079F">
        <w:rPr>
          <w:rFonts w:cs="Arial"/>
          <w:b/>
          <w:iCs/>
          <w:lang w:val="en-US" w:eastAsia="nb-NO"/>
        </w:rPr>
        <w:t>).</w:t>
      </w:r>
    </w:p>
    <w:p w14:paraId="61C003F2" w14:textId="6F29F8AB" w:rsidR="00544E11" w:rsidRDefault="00544E11" w:rsidP="004F52F3">
      <w:pPr>
        <w:pStyle w:val="Listeafsnit1"/>
        <w:spacing w:after="200" w:line="360" w:lineRule="auto"/>
        <w:ind w:left="360"/>
        <w:rPr>
          <w:rFonts w:cs="Arial"/>
          <w:b/>
          <w:iCs/>
          <w:szCs w:val="22"/>
          <w:lang w:val="en-US" w:eastAsia="nb-NO"/>
        </w:rPr>
      </w:pPr>
    </w:p>
    <w:p w14:paraId="00B370E8" w14:textId="24C21C5A" w:rsidR="00F63657" w:rsidRPr="00F63657" w:rsidRDefault="00F63657" w:rsidP="00F63657">
      <w:pPr>
        <w:spacing w:line="360" w:lineRule="auto"/>
        <w:jc w:val="both"/>
        <w:rPr>
          <w:rFonts w:ascii="Arial" w:hAnsi="Arial" w:cs="Arial"/>
          <w:iCs/>
          <w:lang w:val="en-GB" w:eastAsia="nb-NO"/>
        </w:rPr>
      </w:pPr>
      <w:proofErr w:type="gramStart"/>
      <w:r w:rsidRPr="00F63657">
        <w:rPr>
          <w:rFonts w:ascii="Arial" w:hAnsi="Arial" w:cs="Arial"/>
          <w:i/>
          <w:iCs/>
          <w:u w:val="single"/>
          <w:lang w:val="en-GB" w:eastAsia="nb-NO"/>
        </w:rPr>
        <w:t>Short-term government bond yields</w:t>
      </w:r>
      <w:r w:rsidRPr="00F63657">
        <w:rPr>
          <w:rFonts w:ascii="Arial" w:hAnsi="Arial" w:cs="Arial"/>
          <w:iCs/>
          <w:u w:val="single"/>
          <w:lang w:val="en-GB" w:eastAsia="nb-NO"/>
        </w:rPr>
        <w:t xml:space="preserve"> </w:t>
      </w:r>
      <w:r w:rsidRPr="00F63657">
        <w:rPr>
          <w:rFonts w:ascii="Arial" w:hAnsi="Arial" w:cs="Arial"/>
          <w:iCs/>
          <w:lang w:val="en-GB" w:eastAsia="nb-NO"/>
        </w:rPr>
        <w:t>are available on an annual basis from 1862 to 2016, and a monthly basis before 1914 and after 1971, thanks to Piselli and Vercelli’s (2023) historical reconstruction, and they are accessible in the Historical Statistics section of the Bank’s website [from the end of 2022].Over the entire period, the BOT (</w:t>
      </w:r>
      <w:proofErr w:type="spellStart"/>
      <w:r w:rsidRPr="00F63657">
        <w:rPr>
          <w:rFonts w:ascii="Arial" w:hAnsi="Arial" w:cs="Arial"/>
          <w:i/>
          <w:iCs/>
          <w:lang w:val="en-GB" w:eastAsia="nb-NO"/>
        </w:rPr>
        <w:t>Buoni</w:t>
      </w:r>
      <w:proofErr w:type="spellEnd"/>
      <w:r w:rsidRPr="00F63657">
        <w:rPr>
          <w:rFonts w:ascii="Arial" w:hAnsi="Arial" w:cs="Arial"/>
          <w:i/>
          <w:iCs/>
          <w:lang w:val="en-GB" w:eastAsia="nb-NO"/>
        </w:rPr>
        <w:t xml:space="preserve"> del Tesoro </w:t>
      </w:r>
      <w:proofErr w:type="spellStart"/>
      <w:r w:rsidRPr="00F63657">
        <w:rPr>
          <w:rFonts w:ascii="Arial" w:hAnsi="Arial" w:cs="Arial"/>
          <w:i/>
          <w:iCs/>
          <w:lang w:val="en-GB" w:eastAsia="nb-NO"/>
        </w:rPr>
        <w:t>Ordinari</w:t>
      </w:r>
      <w:proofErr w:type="spellEnd"/>
      <w:r w:rsidRPr="00F63657">
        <w:rPr>
          <w:rFonts w:ascii="Arial" w:hAnsi="Arial" w:cs="Arial"/>
          <w:iCs/>
          <w:lang w:val="en-GB" w:eastAsia="nb-NO"/>
        </w:rPr>
        <w:t>, ordinary treasury bills) with maturity of one year or less are considered.</w:t>
      </w:r>
      <w:proofErr w:type="gramEnd"/>
      <w:r w:rsidRPr="00F63657">
        <w:rPr>
          <w:rFonts w:ascii="Arial" w:hAnsi="Arial" w:cs="Arial"/>
          <w:iCs/>
          <w:lang w:val="en-GB" w:eastAsia="nb-NO"/>
        </w:rPr>
        <w:t xml:space="preserve"> The series </w:t>
      </w:r>
      <w:proofErr w:type="gramStart"/>
      <w:r w:rsidRPr="00F63657">
        <w:rPr>
          <w:rFonts w:ascii="Arial" w:hAnsi="Arial" w:cs="Arial"/>
          <w:iCs/>
          <w:lang w:val="en-GB" w:eastAsia="nb-NO"/>
        </w:rPr>
        <w:t>are obtained</w:t>
      </w:r>
      <w:proofErr w:type="gramEnd"/>
      <w:r w:rsidRPr="00F63657">
        <w:rPr>
          <w:rFonts w:ascii="Arial" w:hAnsi="Arial" w:cs="Arial"/>
          <w:iCs/>
          <w:lang w:val="en-GB" w:eastAsia="nb-NO"/>
        </w:rPr>
        <w:t xml:space="preserve"> as a simple average of yields at the issue for each maturity</w:t>
      </w:r>
      <w:r w:rsidRPr="00F63657">
        <w:rPr>
          <w:rStyle w:val="Rimandonotaapidipagina"/>
          <w:rFonts w:ascii="Arial" w:hAnsi="Arial" w:cs="Arial"/>
          <w:iCs/>
          <w:lang w:val="en-US" w:eastAsia="nb-NO"/>
        </w:rPr>
        <w:footnoteReference w:id="1"/>
      </w:r>
      <w:r w:rsidRPr="00F63657">
        <w:rPr>
          <w:rFonts w:ascii="Arial" w:hAnsi="Arial" w:cs="Arial"/>
          <w:iCs/>
          <w:lang w:val="en-US" w:eastAsia="nb-NO"/>
        </w:rPr>
        <w:t xml:space="preserve"> </w:t>
      </w:r>
      <w:r w:rsidRPr="00F63657">
        <w:rPr>
          <w:rFonts w:ascii="Arial" w:hAnsi="Arial" w:cs="Arial"/>
          <w:iCs/>
          <w:lang w:val="en-GB" w:eastAsia="nb-NO"/>
        </w:rPr>
        <w:t xml:space="preserve"> until 1976, a weighted average thereafter.</w:t>
      </w:r>
    </w:p>
    <w:p w14:paraId="7EFF177E" w14:textId="77777777" w:rsidR="00F63657" w:rsidRPr="00F63657" w:rsidRDefault="00F63657" w:rsidP="00F63657">
      <w:pPr>
        <w:spacing w:line="360" w:lineRule="auto"/>
        <w:jc w:val="both"/>
        <w:rPr>
          <w:rFonts w:ascii="Arial" w:hAnsi="Arial" w:cs="Arial"/>
          <w:iCs/>
          <w:lang w:val="en-GB" w:eastAsia="nb-NO"/>
        </w:rPr>
      </w:pPr>
      <w:r w:rsidRPr="00F63657">
        <w:rPr>
          <w:rFonts w:ascii="Arial" w:hAnsi="Arial" w:cs="Arial"/>
          <w:iCs/>
          <w:lang w:val="en-GB" w:eastAsia="nb-NO"/>
        </w:rPr>
        <w:t xml:space="preserve">Piselli and Vercelli’s (2023) </w:t>
      </w:r>
      <w:r w:rsidRPr="00F63657">
        <w:rPr>
          <w:rFonts w:ascii="Arial" w:hAnsi="Arial" w:cs="Arial"/>
          <w:lang w:val="en-GB" w:eastAsia="nb-NO"/>
        </w:rPr>
        <w:t xml:space="preserve">main historical sources in the reconstruction of </w:t>
      </w:r>
      <w:r w:rsidRPr="00F63657">
        <w:rPr>
          <w:rFonts w:ascii="Arial" w:hAnsi="Arial" w:cs="Arial"/>
          <w:iCs/>
          <w:lang w:val="en-GB" w:eastAsia="nb-NO"/>
        </w:rPr>
        <w:t xml:space="preserve">short-term government bond yield’s </w:t>
      </w:r>
      <w:r w:rsidRPr="00F63657">
        <w:rPr>
          <w:rFonts w:ascii="Arial" w:hAnsi="Arial" w:cs="Arial"/>
          <w:lang w:val="en-GB" w:eastAsia="nb-NO"/>
        </w:rPr>
        <w:t>time series are</w:t>
      </w:r>
      <w:r w:rsidRPr="00F63657">
        <w:rPr>
          <w:rFonts w:ascii="Arial" w:hAnsi="Arial" w:cs="Arial"/>
          <w:iCs/>
          <w:lang w:val="en-GB" w:eastAsia="nb-NO"/>
        </w:rPr>
        <w:t xml:space="preserve"> </w:t>
      </w:r>
      <w:proofErr w:type="spellStart"/>
      <w:r w:rsidRPr="00F63657">
        <w:rPr>
          <w:rFonts w:ascii="Arial" w:hAnsi="Arial" w:cs="Arial"/>
          <w:iCs/>
          <w:lang w:val="en-GB" w:eastAsia="nb-NO"/>
        </w:rPr>
        <w:t>Ministero</w:t>
      </w:r>
      <w:proofErr w:type="spellEnd"/>
      <w:r w:rsidRPr="00F63657">
        <w:rPr>
          <w:rFonts w:ascii="Arial" w:hAnsi="Arial" w:cs="Arial"/>
          <w:iCs/>
          <w:lang w:val="en-GB" w:eastAsia="nb-NO"/>
        </w:rPr>
        <w:t xml:space="preserve"> del Tesoro (1988) from 1862 to 1913; Confalonieri and </w:t>
      </w:r>
      <w:proofErr w:type="spellStart"/>
      <w:r w:rsidRPr="00F63657">
        <w:rPr>
          <w:rFonts w:ascii="Arial" w:hAnsi="Arial" w:cs="Arial"/>
          <w:iCs/>
          <w:lang w:val="en-GB" w:eastAsia="nb-NO"/>
        </w:rPr>
        <w:t>Gatti</w:t>
      </w:r>
      <w:proofErr w:type="spellEnd"/>
      <w:r w:rsidRPr="00F63657">
        <w:rPr>
          <w:rFonts w:ascii="Arial" w:hAnsi="Arial" w:cs="Arial"/>
          <w:iCs/>
          <w:lang w:val="en-GB" w:eastAsia="nb-NO"/>
        </w:rPr>
        <w:t xml:space="preserve"> (1986;</w:t>
      </w:r>
      <w:r w:rsidRPr="00F63657">
        <w:rPr>
          <w:rFonts w:ascii="Arial" w:hAnsi="Arial" w:cs="Arial"/>
          <w:lang w:val="en-GB"/>
        </w:rPr>
        <w:t xml:space="preserve"> </w:t>
      </w:r>
      <w:r w:rsidRPr="00F63657">
        <w:rPr>
          <w:rFonts w:ascii="Arial" w:hAnsi="Arial" w:cs="Arial"/>
          <w:iCs/>
          <w:lang w:val="en-GB" w:eastAsia="nb-NO"/>
        </w:rPr>
        <w:t xml:space="preserve">tab. LXXVI) from 1914 to 1937; and the </w:t>
      </w:r>
      <w:r w:rsidRPr="00F63657">
        <w:rPr>
          <w:rFonts w:ascii="Arial" w:hAnsi="Arial" w:cs="Arial"/>
          <w:iCs/>
          <w:lang w:val="en-US" w:eastAsia="nb-NO"/>
        </w:rPr>
        <w:t>Bank’s</w:t>
      </w:r>
      <w:r w:rsidRPr="00F63657">
        <w:rPr>
          <w:rFonts w:ascii="Arial" w:hAnsi="Arial" w:cs="Arial"/>
          <w:iCs/>
          <w:lang w:val="en-GB" w:eastAsia="nb-NO"/>
        </w:rPr>
        <w:t xml:space="preserve"> Economic Research Department Bulletin (</w:t>
      </w:r>
      <w:proofErr w:type="spellStart"/>
      <w:r w:rsidRPr="00F63657">
        <w:rPr>
          <w:rFonts w:ascii="Arial" w:hAnsi="Arial" w:cs="Arial"/>
          <w:iCs/>
          <w:lang w:val="en-GB" w:eastAsia="nb-NO"/>
        </w:rPr>
        <w:t>Bollettino</w:t>
      </w:r>
      <w:proofErr w:type="spellEnd"/>
      <w:r w:rsidRPr="00F63657">
        <w:rPr>
          <w:rFonts w:ascii="Arial" w:hAnsi="Arial" w:cs="Arial"/>
          <w:iCs/>
          <w:lang w:val="en-GB" w:eastAsia="nb-NO"/>
        </w:rPr>
        <w:t>) from 1938 to 1976. The source is the Bank of Italy’s Statistical Database since 1977.</w:t>
      </w:r>
    </w:p>
    <w:p w14:paraId="3835BD7F" w14:textId="77777777" w:rsidR="00F63657" w:rsidRPr="00F63657" w:rsidRDefault="00F63657" w:rsidP="004F52F3">
      <w:pPr>
        <w:pStyle w:val="Listeafsnit1"/>
        <w:spacing w:after="200" w:line="360" w:lineRule="auto"/>
        <w:ind w:left="360"/>
        <w:rPr>
          <w:rFonts w:cs="Arial"/>
          <w:b/>
          <w:iCs/>
          <w:szCs w:val="22"/>
          <w:lang w:val="en-GB" w:eastAsia="nb-NO"/>
        </w:rPr>
      </w:pPr>
    </w:p>
    <w:p w14:paraId="3CB9DF4D" w14:textId="64A06BBF" w:rsidR="00544E11" w:rsidRPr="00F63657" w:rsidRDefault="00544E11" w:rsidP="00F63657">
      <w:pPr>
        <w:spacing w:line="360" w:lineRule="auto"/>
        <w:jc w:val="both"/>
        <w:rPr>
          <w:rFonts w:ascii="Arial" w:eastAsiaTheme="minorHAnsi" w:hAnsi="Arial" w:cs="Arial"/>
          <w:lang w:val="en-GB"/>
        </w:rPr>
      </w:pPr>
      <w:r w:rsidRPr="00F63657">
        <w:rPr>
          <w:rFonts w:ascii="Arial" w:hAnsi="Arial" w:cs="Arial"/>
          <w:i/>
          <w:iCs/>
          <w:u w:val="single"/>
          <w:lang w:val="en-GB" w:eastAsia="nb-NO"/>
        </w:rPr>
        <w:t>Long-term government bond yields</w:t>
      </w:r>
      <w:r w:rsidRPr="00F63657">
        <w:rPr>
          <w:rFonts w:ascii="Arial" w:hAnsi="Arial" w:cs="Arial"/>
          <w:iCs/>
          <w:lang w:val="en-GB" w:eastAsia="nb-NO"/>
        </w:rPr>
        <w:t xml:space="preserve"> are available on an annual and monthly basis from 1862 to 2016 thanks to Piselli and Vercelli’s (2023) historical reconstruction. They are accessible in the Historical Statistics section of the Bank’s website [from the end of 2022]. The bonds covered in the index change over time to reflect the benchmark government bonds in the Italian financial market in the different historical phases. Over the whole period up to 1937, the yield is a simple average of the yields of six different bonds: the </w:t>
      </w:r>
      <w:proofErr w:type="spellStart"/>
      <w:r w:rsidRPr="00F63657">
        <w:rPr>
          <w:rFonts w:ascii="Arial" w:hAnsi="Arial" w:cs="Arial"/>
          <w:iCs/>
          <w:lang w:val="en-GB" w:eastAsia="nb-NO"/>
        </w:rPr>
        <w:t>rendita</w:t>
      </w:r>
      <w:proofErr w:type="spellEnd"/>
      <w:r w:rsidRPr="00F63657">
        <w:rPr>
          <w:rFonts w:ascii="Arial" w:hAnsi="Arial" w:cs="Arial"/>
          <w:iCs/>
          <w:lang w:val="en-GB" w:eastAsia="nb-NO"/>
        </w:rPr>
        <w:t xml:space="preserve"> (</w:t>
      </w:r>
      <w:proofErr w:type="spellStart"/>
      <w:r w:rsidRPr="00F63657">
        <w:rPr>
          <w:rFonts w:ascii="Arial" w:hAnsi="Arial" w:cs="Arial"/>
          <w:iCs/>
          <w:lang w:val="en-GB" w:eastAsia="nb-NO"/>
        </w:rPr>
        <w:t>consols</w:t>
      </w:r>
      <w:proofErr w:type="spellEnd"/>
      <w:r w:rsidRPr="00F63657">
        <w:rPr>
          <w:rFonts w:ascii="Arial" w:hAnsi="Arial" w:cs="Arial"/>
          <w:iCs/>
          <w:lang w:val="en-GB" w:eastAsia="nb-NO"/>
        </w:rPr>
        <w:t xml:space="preserve">), irredeemable bonds issued for decades after Italian unification, </w:t>
      </w:r>
      <w:proofErr w:type="gramStart"/>
      <w:r w:rsidRPr="00F63657">
        <w:rPr>
          <w:rFonts w:ascii="Arial" w:hAnsi="Arial" w:cs="Arial"/>
          <w:iCs/>
          <w:lang w:val="en-GB" w:eastAsia="nb-NO"/>
        </w:rPr>
        <w:t>are considered</w:t>
      </w:r>
      <w:proofErr w:type="gramEnd"/>
      <w:r w:rsidRPr="00F63657">
        <w:rPr>
          <w:rFonts w:ascii="Arial" w:hAnsi="Arial" w:cs="Arial"/>
          <w:iCs/>
          <w:lang w:val="en-GB" w:eastAsia="nb-NO"/>
        </w:rPr>
        <w:t xml:space="preserve"> as the main reference from 1862 to 1937. To </w:t>
      </w:r>
      <w:r w:rsidRPr="00F63657">
        <w:rPr>
          <w:rFonts w:ascii="Arial" w:hAnsi="Arial" w:cs="Arial"/>
          <w:iCs/>
          <w:lang w:val="en-US" w:eastAsia="nb-NO"/>
        </w:rPr>
        <w:t>keep</w:t>
      </w:r>
      <w:r w:rsidRPr="00F63657">
        <w:rPr>
          <w:rFonts w:ascii="Arial" w:hAnsi="Arial" w:cs="Arial"/>
          <w:iCs/>
          <w:lang w:val="en-GB" w:eastAsia="nb-NO"/>
        </w:rPr>
        <w:t xml:space="preserve"> track of significant new government bond issues, the yield of IV, V and VI </w:t>
      </w:r>
      <w:proofErr w:type="spellStart"/>
      <w:r w:rsidRPr="00F63657">
        <w:rPr>
          <w:rFonts w:ascii="Arial" w:hAnsi="Arial" w:cs="Arial"/>
          <w:iCs/>
          <w:lang w:val="en-GB" w:eastAsia="nb-NO"/>
        </w:rPr>
        <w:t>prestito</w:t>
      </w:r>
      <w:proofErr w:type="spellEnd"/>
      <w:r w:rsidRPr="00F63657">
        <w:rPr>
          <w:rFonts w:ascii="Arial" w:hAnsi="Arial" w:cs="Arial"/>
          <w:iCs/>
          <w:lang w:val="en-GB" w:eastAsia="nb-NO"/>
        </w:rPr>
        <w:t xml:space="preserve"> </w:t>
      </w:r>
      <w:proofErr w:type="spellStart"/>
      <w:r w:rsidRPr="00F63657">
        <w:rPr>
          <w:rFonts w:ascii="Arial" w:hAnsi="Arial" w:cs="Arial"/>
          <w:iCs/>
          <w:lang w:val="en-GB" w:eastAsia="nb-NO"/>
        </w:rPr>
        <w:t>nazionale</w:t>
      </w:r>
      <w:proofErr w:type="spellEnd"/>
      <w:r w:rsidRPr="00F63657">
        <w:rPr>
          <w:rFonts w:ascii="Arial" w:hAnsi="Arial" w:cs="Arial"/>
          <w:iCs/>
          <w:lang w:val="en-GB" w:eastAsia="nb-NO"/>
        </w:rPr>
        <w:t xml:space="preserve"> (irredeemable national loans), issued during and after World War I, are included from 1917 to 1937; in the 1935–37 period the new </w:t>
      </w:r>
      <w:proofErr w:type="spellStart"/>
      <w:r w:rsidRPr="00F63657">
        <w:rPr>
          <w:rFonts w:ascii="Arial" w:hAnsi="Arial" w:cs="Arial"/>
          <w:iCs/>
          <w:lang w:val="en-GB" w:eastAsia="nb-NO"/>
        </w:rPr>
        <w:t>rendita</w:t>
      </w:r>
      <w:proofErr w:type="spellEnd"/>
      <w:r w:rsidRPr="00F63657">
        <w:rPr>
          <w:rFonts w:ascii="Arial" w:hAnsi="Arial" w:cs="Arial"/>
          <w:iCs/>
          <w:lang w:val="en-GB" w:eastAsia="nb-NO"/>
        </w:rPr>
        <w:t xml:space="preserve"> 5% and the </w:t>
      </w:r>
      <w:proofErr w:type="spellStart"/>
      <w:r w:rsidRPr="00F63657">
        <w:rPr>
          <w:rFonts w:ascii="Arial" w:hAnsi="Arial" w:cs="Arial"/>
          <w:iCs/>
          <w:lang w:val="en-GB" w:eastAsia="nb-NO"/>
        </w:rPr>
        <w:t>prestito</w:t>
      </w:r>
      <w:proofErr w:type="spellEnd"/>
      <w:r w:rsidRPr="00F63657">
        <w:rPr>
          <w:rFonts w:ascii="Arial" w:hAnsi="Arial" w:cs="Arial"/>
          <w:iCs/>
          <w:lang w:val="en-GB" w:eastAsia="nb-NO"/>
        </w:rPr>
        <w:t xml:space="preserve"> </w:t>
      </w:r>
      <w:proofErr w:type="spellStart"/>
      <w:r w:rsidRPr="00F63657">
        <w:rPr>
          <w:rFonts w:ascii="Arial" w:hAnsi="Arial" w:cs="Arial"/>
          <w:iCs/>
          <w:lang w:val="en-GB" w:eastAsia="nb-NO"/>
        </w:rPr>
        <w:t>littorio</w:t>
      </w:r>
      <w:proofErr w:type="spellEnd"/>
      <w:r w:rsidRPr="00F63657">
        <w:rPr>
          <w:rFonts w:ascii="Arial" w:hAnsi="Arial" w:cs="Arial"/>
          <w:iCs/>
          <w:lang w:val="en-GB" w:eastAsia="nb-NO"/>
        </w:rPr>
        <w:t xml:space="preserve"> (both </w:t>
      </w:r>
      <w:proofErr w:type="spellStart"/>
      <w:r w:rsidRPr="00F63657">
        <w:rPr>
          <w:rFonts w:ascii="Arial" w:hAnsi="Arial" w:cs="Arial"/>
          <w:iCs/>
          <w:lang w:val="en-GB" w:eastAsia="nb-NO"/>
        </w:rPr>
        <w:t>consols</w:t>
      </w:r>
      <w:proofErr w:type="spellEnd"/>
      <w:r w:rsidRPr="00F63657">
        <w:rPr>
          <w:rFonts w:ascii="Arial" w:hAnsi="Arial" w:cs="Arial"/>
          <w:iCs/>
          <w:lang w:val="en-GB" w:eastAsia="nb-NO"/>
        </w:rPr>
        <w:t xml:space="preserve">) are also considered. From 1938 to 1988, the yield is computed as a weighted average of yields of all residual </w:t>
      </w:r>
      <w:proofErr w:type="spellStart"/>
      <w:r w:rsidRPr="00F63657">
        <w:rPr>
          <w:rFonts w:ascii="Arial" w:hAnsi="Arial" w:cs="Arial"/>
          <w:iCs/>
          <w:lang w:val="en-GB" w:eastAsia="nb-NO"/>
        </w:rPr>
        <w:t>consols</w:t>
      </w:r>
      <w:proofErr w:type="spellEnd"/>
      <w:r w:rsidRPr="00F63657">
        <w:rPr>
          <w:rFonts w:ascii="Arial" w:hAnsi="Arial" w:cs="Arial"/>
          <w:iCs/>
          <w:lang w:val="en-GB" w:eastAsia="nb-NO"/>
        </w:rPr>
        <w:t xml:space="preserve"> as well as of all the BTPs (</w:t>
      </w:r>
      <w:proofErr w:type="spellStart"/>
      <w:r w:rsidRPr="00F63657">
        <w:rPr>
          <w:rFonts w:ascii="Arial" w:hAnsi="Arial" w:cs="Arial"/>
          <w:i/>
          <w:iCs/>
          <w:lang w:val="en-GB" w:eastAsia="nb-NO"/>
        </w:rPr>
        <w:t>B</w:t>
      </w:r>
      <w:r w:rsidRPr="00F63657">
        <w:rPr>
          <w:rFonts w:ascii="Arial" w:hAnsi="Arial" w:cs="Arial"/>
          <w:i/>
          <w:iCs/>
          <w:lang w:val="en-GB" w:eastAsia="nb-NO"/>
        </w:rPr>
        <w:t>uoni</w:t>
      </w:r>
      <w:proofErr w:type="spellEnd"/>
      <w:r w:rsidRPr="00F63657">
        <w:rPr>
          <w:rFonts w:ascii="Arial" w:hAnsi="Arial" w:cs="Arial"/>
          <w:i/>
          <w:iCs/>
          <w:lang w:val="en-GB" w:eastAsia="nb-NO"/>
        </w:rPr>
        <w:t xml:space="preserve"> </w:t>
      </w:r>
      <w:proofErr w:type="gramStart"/>
      <w:r w:rsidRPr="00F63657">
        <w:rPr>
          <w:rFonts w:ascii="Arial" w:hAnsi="Arial" w:cs="Arial"/>
          <w:i/>
          <w:iCs/>
          <w:lang w:val="en-GB" w:eastAsia="nb-NO"/>
        </w:rPr>
        <w:t>del</w:t>
      </w:r>
      <w:proofErr w:type="gramEnd"/>
      <w:r w:rsidRPr="00F63657">
        <w:rPr>
          <w:rFonts w:ascii="Arial" w:hAnsi="Arial" w:cs="Arial"/>
          <w:i/>
          <w:iCs/>
          <w:lang w:val="en-GB" w:eastAsia="nb-NO"/>
        </w:rPr>
        <w:t xml:space="preserve"> </w:t>
      </w:r>
      <w:r w:rsidRPr="00F63657">
        <w:rPr>
          <w:rFonts w:ascii="Arial" w:hAnsi="Arial" w:cs="Arial"/>
          <w:i/>
          <w:iCs/>
          <w:lang w:val="en-GB" w:eastAsia="nb-NO"/>
        </w:rPr>
        <w:t>T</w:t>
      </w:r>
      <w:r w:rsidRPr="00F63657">
        <w:rPr>
          <w:rFonts w:ascii="Arial" w:hAnsi="Arial" w:cs="Arial"/>
          <w:i/>
          <w:iCs/>
          <w:lang w:val="en-GB" w:eastAsia="nb-NO"/>
        </w:rPr>
        <w:t xml:space="preserve">esoro </w:t>
      </w:r>
      <w:proofErr w:type="spellStart"/>
      <w:r w:rsidRPr="00F63657">
        <w:rPr>
          <w:rFonts w:ascii="Arial" w:hAnsi="Arial" w:cs="Arial"/>
          <w:i/>
          <w:iCs/>
          <w:lang w:val="en-GB" w:eastAsia="nb-NO"/>
        </w:rPr>
        <w:t>P</w:t>
      </w:r>
      <w:r w:rsidRPr="00F63657">
        <w:rPr>
          <w:rFonts w:ascii="Arial" w:hAnsi="Arial" w:cs="Arial"/>
          <w:i/>
          <w:iCs/>
          <w:lang w:val="en-GB" w:eastAsia="nb-NO"/>
        </w:rPr>
        <w:t>oliennali</w:t>
      </w:r>
      <w:proofErr w:type="spellEnd"/>
      <w:r w:rsidRPr="00F63657">
        <w:rPr>
          <w:rFonts w:ascii="Arial" w:hAnsi="Arial" w:cs="Arial"/>
          <w:iCs/>
          <w:lang w:val="en-GB" w:eastAsia="nb-NO"/>
        </w:rPr>
        <w:t>, long-term treasury bonds) and other redeemable bonds with maturity longer than one year.</w:t>
      </w:r>
      <w:r w:rsidRPr="00F63657">
        <w:rPr>
          <w:rStyle w:val="Rimandonotaapidipagina"/>
          <w:rFonts w:ascii="Arial" w:hAnsi="Arial" w:cs="Arial"/>
          <w:iCs/>
          <w:lang w:val="en-GB" w:eastAsia="nb-NO"/>
        </w:rPr>
        <w:footnoteReference w:id="2"/>
      </w:r>
      <w:r w:rsidRPr="00F63657">
        <w:rPr>
          <w:rFonts w:ascii="Arial" w:hAnsi="Arial" w:cs="Arial"/>
          <w:iCs/>
          <w:lang w:val="en-GB" w:eastAsia="nb-NO"/>
        </w:rPr>
        <w:t xml:space="preserve"> Since 1989, the yield is a weighted average of the yields of a wide sample of long-term government bonds with more than one-year maturity, as traded on the Italian stock exchange in Milan. </w:t>
      </w:r>
    </w:p>
    <w:p w14:paraId="41B85B93" w14:textId="77777777" w:rsidR="00544E11" w:rsidRPr="00F63657" w:rsidRDefault="00544E11" w:rsidP="00F63657">
      <w:pPr>
        <w:spacing w:line="360" w:lineRule="auto"/>
        <w:jc w:val="both"/>
        <w:rPr>
          <w:rFonts w:ascii="Arial" w:hAnsi="Arial" w:cs="Arial"/>
          <w:iCs/>
          <w:lang w:val="en-GB" w:eastAsia="nb-NO"/>
        </w:rPr>
      </w:pPr>
      <w:r w:rsidRPr="00F63657">
        <w:rPr>
          <w:rFonts w:ascii="Arial" w:hAnsi="Arial" w:cs="Arial"/>
          <w:iCs/>
          <w:lang w:val="en-GB" w:eastAsia="nb-NO"/>
        </w:rPr>
        <w:lastRenderedPageBreak/>
        <w:t xml:space="preserve">Piselli and Vercelli’s (2023) </w:t>
      </w:r>
      <w:r w:rsidRPr="00F63657">
        <w:rPr>
          <w:rFonts w:ascii="Arial" w:hAnsi="Arial" w:cs="Arial"/>
          <w:lang w:val="en-GB" w:eastAsia="nb-NO"/>
        </w:rPr>
        <w:t xml:space="preserve">main historical sources in the reconstruction of </w:t>
      </w:r>
      <w:r w:rsidRPr="00F63657">
        <w:rPr>
          <w:rFonts w:ascii="Arial" w:hAnsi="Arial" w:cs="Arial"/>
          <w:iCs/>
          <w:lang w:val="en-GB" w:eastAsia="nb-NO"/>
        </w:rPr>
        <w:t xml:space="preserve">long-term government bond yield’s </w:t>
      </w:r>
      <w:r w:rsidRPr="00F63657">
        <w:rPr>
          <w:rFonts w:ascii="Arial" w:hAnsi="Arial" w:cs="Arial"/>
          <w:lang w:val="en-GB" w:eastAsia="nb-NO"/>
        </w:rPr>
        <w:t>time series are</w:t>
      </w:r>
      <w:r w:rsidRPr="00F63657">
        <w:rPr>
          <w:rFonts w:ascii="Arial" w:hAnsi="Arial" w:cs="Arial"/>
          <w:iCs/>
          <w:lang w:val="en-GB" w:eastAsia="nb-NO"/>
        </w:rPr>
        <w:t xml:space="preserve"> Bianchi (1979</w:t>
      </w:r>
      <w:r w:rsidRPr="00F63657">
        <w:rPr>
          <w:rFonts w:ascii="Arial" w:hAnsi="Arial" w:cs="Arial"/>
          <w:lang w:val="en-GB" w:eastAsia="nb-NO"/>
        </w:rPr>
        <w:t>; tab. 3 and tab. 5</w:t>
      </w:r>
      <w:r w:rsidRPr="00F63657">
        <w:rPr>
          <w:rFonts w:ascii="Arial" w:hAnsi="Arial" w:cs="Arial"/>
          <w:iCs/>
          <w:lang w:val="en-GB" w:eastAsia="nb-NO"/>
        </w:rPr>
        <w:t>)</w:t>
      </w:r>
      <w:r w:rsidRPr="00F63657">
        <w:rPr>
          <w:rStyle w:val="Rimandonotaapidipagina"/>
          <w:rFonts w:ascii="Arial" w:hAnsi="Arial" w:cs="Arial"/>
          <w:iCs/>
          <w:lang w:val="en-GB" w:eastAsia="nb-NO"/>
        </w:rPr>
        <w:t xml:space="preserve"> </w:t>
      </w:r>
      <w:r w:rsidRPr="00F63657">
        <w:rPr>
          <w:rStyle w:val="Rimandonotaapidipagina"/>
          <w:rFonts w:ascii="Arial" w:hAnsi="Arial" w:cs="Arial"/>
          <w:iCs/>
          <w:lang w:val="en-GB" w:eastAsia="nb-NO"/>
        </w:rPr>
        <w:footnoteReference w:id="3"/>
      </w:r>
      <w:r w:rsidRPr="00F63657">
        <w:rPr>
          <w:rFonts w:ascii="Arial" w:hAnsi="Arial" w:cs="Arial"/>
          <w:iCs/>
          <w:lang w:val="en-GB" w:eastAsia="nb-NO"/>
        </w:rPr>
        <w:t xml:space="preserve"> from 1862 to 1937</w:t>
      </w:r>
      <w:proofErr w:type="gramStart"/>
      <w:r w:rsidRPr="00F63657">
        <w:rPr>
          <w:rFonts w:ascii="Arial" w:hAnsi="Arial" w:cs="Arial"/>
          <w:iCs/>
          <w:lang w:val="en-GB" w:eastAsia="nb-NO"/>
        </w:rPr>
        <w:t>;</w:t>
      </w:r>
      <w:proofErr w:type="gramEnd"/>
      <w:r w:rsidRPr="00F63657">
        <w:rPr>
          <w:rFonts w:ascii="Arial" w:hAnsi="Arial" w:cs="Arial"/>
          <w:iCs/>
          <w:lang w:val="en-GB" w:eastAsia="nb-NO"/>
        </w:rPr>
        <w:t xml:space="preserve"> Bank Economic Research Department Bulletin (</w:t>
      </w:r>
      <w:proofErr w:type="spellStart"/>
      <w:r w:rsidRPr="00F63657">
        <w:rPr>
          <w:rFonts w:ascii="Arial" w:hAnsi="Arial" w:cs="Arial"/>
          <w:iCs/>
          <w:lang w:val="en-GB" w:eastAsia="nb-NO"/>
        </w:rPr>
        <w:t>Bollettino</w:t>
      </w:r>
      <w:proofErr w:type="spellEnd"/>
      <w:r w:rsidRPr="00F63657">
        <w:rPr>
          <w:rFonts w:ascii="Arial" w:hAnsi="Arial" w:cs="Arial"/>
          <w:iCs/>
          <w:lang w:val="en-GB" w:eastAsia="nb-NO"/>
        </w:rPr>
        <w:t xml:space="preserve">) from 1938 to 1988. From 1989, the source has been the Economic Research Department </w:t>
      </w:r>
      <w:r w:rsidRPr="00F63657">
        <w:rPr>
          <w:rFonts w:ascii="Arial" w:hAnsi="Arial" w:cs="Arial"/>
          <w:lang w:val="en-GB"/>
        </w:rPr>
        <w:t>internal statistical archives</w:t>
      </w:r>
      <w:r w:rsidRPr="00F63657">
        <w:rPr>
          <w:rFonts w:ascii="Arial" w:hAnsi="Arial" w:cs="Arial"/>
          <w:iCs/>
          <w:lang w:val="en-GB" w:eastAsia="nb-NO"/>
        </w:rPr>
        <w:t>.</w:t>
      </w:r>
    </w:p>
    <w:p w14:paraId="21C6F3FA" w14:textId="5DE3A79D" w:rsidR="0007668E" w:rsidRPr="005E62B4" w:rsidRDefault="0007668E" w:rsidP="005C27CB">
      <w:pPr>
        <w:pStyle w:val="Listeafsnit1"/>
        <w:spacing w:after="200" w:line="360" w:lineRule="auto"/>
        <w:ind w:left="0"/>
        <w:jc w:val="both"/>
        <w:rPr>
          <w:rFonts w:cs="Arial"/>
          <w:iCs/>
          <w:highlight w:val="yellow"/>
          <w:lang w:val="en-GB" w:eastAsia="nb-NO"/>
        </w:rPr>
      </w:pPr>
    </w:p>
    <w:p w14:paraId="372174AA" w14:textId="0DCA468B" w:rsidR="009F59AF" w:rsidRPr="0062079F" w:rsidRDefault="009F59AF" w:rsidP="009F59AF">
      <w:pPr>
        <w:rPr>
          <w:rFonts w:ascii="Arial" w:hAnsi="Arial" w:cs="Arial"/>
          <w:b/>
          <w:lang w:val="it-IT" w:eastAsia="nb-NO"/>
        </w:rPr>
      </w:pPr>
      <w:proofErr w:type="spellStart"/>
      <w:r w:rsidRPr="0062079F">
        <w:rPr>
          <w:rFonts w:ascii="Arial" w:hAnsi="Arial" w:cs="Arial"/>
          <w:b/>
          <w:lang w:val="it-IT" w:eastAsia="nb-NO"/>
        </w:rPr>
        <w:t>References</w:t>
      </w:r>
      <w:proofErr w:type="spellEnd"/>
      <w:r w:rsidRPr="0062079F">
        <w:rPr>
          <w:rFonts w:ascii="Arial" w:hAnsi="Arial" w:cs="Arial"/>
          <w:b/>
          <w:lang w:val="it-IT" w:eastAsia="nb-NO"/>
        </w:rPr>
        <w:t xml:space="preserve"> </w:t>
      </w:r>
    </w:p>
    <w:p w14:paraId="5B950EB0" w14:textId="719E8B88" w:rsidR="00586998" w:rsidRDefault="00586998" w:rsidP="004F52F3">
      <w:pPr>
        <w:spacing w:line="240" w:lineRule="auto"/>
        <w:jc w:val="both"/>
        <w:rPr>
          <w:rFonts w:ascii="Arial" w:hAnsi="Arial" w:cs="Arial"/>
          <w:lang w:val="it-IT" w:eastAsia="nb-NO"/>
        </w:rPr>
      </w:pPr>
      <w:r w:rsidRPr="004F52F3">
        <w:rPr>
          <w:rFonts w:ascii="Arial" w:hAnsi="Arial" w:cs="Arial"/>
          <w:lang w:val="it-IT" w:eastAsia="nb-NO"/>
        </w:rPr>
        <w:t xml:space="preserve">Banca d'Italia, Bollettino, </w:t>
      </w:r>
      <w:proofErr w:type="spellStart"/>
      <w:r w:rsidRPr="004F52F3">
        <w:rPr>
          <w:rFonts w:ascii="Arial" w:hAnsi="Arial" w:cs="Arial"/>
          <w:lang w:val="it-IT" w:eastAsia="nb-NO"/>
        </w:rPr>
        <w:t>various</w:t>
      </w:r>
      <w:proofErr w:type="spellEnd"/>
      <w:r w:rsidRPr="004F52F3">
        <w:rPr>
          <w:rFonts w:ascii="Arial" w:hAnsi="Arial" w:cs="Arial"/>
          <w:lang w:val="it-IT" w:eastAsia="nb-NO"/>
        </w:rPr>
        <w:t xml:space="preserve"> </w:t>
      </w:r>
      <w:proofErr w:type="spellStart"/>
      <w:r w:rsidRPr="004F52F3">
        <w:rPr>
          <w:rFonts w:ascii="Arial" w:hAnsi="Arial" w:cs="Arial"/>
          <w:lang w:val="it-IT" w:eastAsia="nb-NO"/>
        </w:rPr>
        <w:t>years</w:t>
      </w:r>
      <w:proofErr w:type="spellEnd"/>
      <w:r w:rsidRPr="004F52F3">
        <w:rPr>
          <w:rFonts w:ascii="Arial" w:hAnsi="Arial" w:cs="Arial"/>
          <w:lang w:val="it-IT" w:eastAsia="nb-NO"/>
        </w:rPr>
        <w:t>, Rome.</w:t>
      </w:r>
    </w:p>
    <w:p w14:paraId="037556A3" w14:textId="59872C11" w:rsidR="00B131F3" w:rsidRDefault="00B131F3" w:rsidP="004F52F3">
      <w:pPr>
        <w:spacing w:line="240" w:lineRule="auto"/>
        <w:jc w:val="both"/>
        <w:rPr>
          <w:rFonts w:ascii="Arial" w:hAnsi="Arial" w:cs="Arial"/>
          <w:lang w:val="it-IT" w:eastAsia="nb-NO"/>
        </w:rPr>
      </w:pPr>
      <w:r w:rsidRPr="009F59AF">
        <w:rPr>
          <w:rFonts w:ascii="Arial" w:hAnsi="Arial" w:cs="Arial"/>
          <w:lang w:val="it-IT" w:eastAsia="nb-NO"/>
        </w:rPr>
        <w:t>Bianchi</w:t>
      </w:r>
      <w:r>
        <w:rPr>
          <w:rFonts w:ascii="Arial" w:hAnsi="Arial" w:cs="Arial"/>
          <w:lang w:val="it-IT" w:eastAsia="nb-NO"/>
        </w:rPr>
        <w:t>,</w:t>
      </w:r>
      <w:r w:rsidRPr="009F59AF">
        <w:rPr>
          <w:rFonts w:ascii="Arial" w:hAnsi="Arial" w:cs="Arial"/>
          <w:lang w:val="it-IT" w:eastAsia="nb-NO"/>
        </w:rPr>
        <w:t xml:space="preserve"> B. (1979), </w:t>
      </w:r>
      <w:r>
        <w:rPr>
          <w:rFonts w:ascii="Arial" w:hAnsi="Arial" w:cs="Arial"/>
          <w:lang w:val="it-IT" w:eastAsia="nb-NO"/>
        </w:rPr>
        <w:t>“</w:t>
      </w:r>
      <w:r w:rsidRPr="009F59AF">
        <w:rPr>
          <w:rFonts w:ascii="Arial" w:hAnsi="Arial" w:cs="Arial"/>
          <w:lang w:val="it-IT" w:eastAsia="nb-NO"/>
        </w:rPr>
        <w:t>Appendice statistica: il rendimento del consolidato dal 1862 al 1946</w:t>
      </w:r>
      <w:r>
        <w:rPr>
          <w:rFonts w:ascii="Arial" w:hAnsi="Arial" w:cs="Arial"/>
          <w:lang w:val="it-IT" w:eastAsia="nb-NO"/>
        </w:rPr>
        <w:t>”</w:t>
      </w:r>
      <w:r w:rsidR="00AE1E72">
        <w:rPr>
          <w:rFonts w:ascii="Arial" w:hAnsi="Arial" w:cs="Arial"/>
          <w:lang w:val="it-IT" w:eastAsia="nb-NO"/>
        </w:rPr>
        <w:t>,</w:t>
      </w:r>
      <w:r w:rsidRPr="009F59AF">
        <w:rPr>
          <w:rFonts w:ascii="Arial" w:hAnsi="Arial" w:cs="Arial"/>
          <w:lang w:val="it-IT" w:eastAsia="nb-NO"/>
        </w:rPr>
        <w:t xml:space="preserve"> in Vicarelli F., </w:t>
      </w:r>
      <w:r w:rsidRPr="003E2F40">
        <w:rPr>
          <w:rFonts w:ascii="Arial" w:hAnsi="Arial" w:cs="Arial"/>
          <w:i/>
          <w:lang w:val="it-IT" w:eastAsia="nb-NO"/>
        </w:rPr>
        <w:t>Capitale industriale e capitale finanziario</w:t>
      </w:r>
      <w:r w:rsidRPr="009F59AF">
        <w:rPr>
          <w:rFonts w:ascii="Arial" w:hAnsi="Arial" w:cs="Arial"/>
          <w:lang w:val="it-IT" w:eastAsia="nb-NO"/>
        </w:rPr>
        <w:t>, Bologna</w:t>
      </w:r>
      <w:r w:rsidR="002471C4">
        <w:rPr>
          <w:rFonts w:ascii="Arial" w:hAnsi="Arial" w:cs="Arial"/>
          <w:lang w:val="it-IT" w:eastAsia="nb-NO"/>
        </w:rPr>
        <w:t>,</w:t>
      </w:r>
      <w:r w:rsidRPr="009F59AF">
        <w:rPr>
          <w:rFonts w:ascii="Arial" w:hAnsi="Arial" w:cs="Arial"/>
          <w:lang w:val="it-IT" w:eastAsia="nb-NO"/>
        </w:rPr>
        <w:t xml:space="preserve"> il Mulino</w:t>
      </w:r>
      <w:r>
        <w:rPr>
          <w:rFonts w:ascii="Arial" w:hAnsi="Arial" w:cs="Arial"/>
          <w:lang w:val="it-IT" w:eastAsia="nb-NO"/>
        </w:rPr>
        <w:t xml:space="preserve">, </w:t>
      </w:r>
      <w:r w:rsidRPr="009F59AF">
        <w:rPr>
          <w:rFonts w:ascii="Arial" w:hAnsi="Arial" w:cs="Arial"/>
          <w:lang w:val="it-IT" w:eastAsia="nb-NO"/>
        </w:rPr>
        <w:t>pp. 139-167</w:t>
      </w:r>
      <w:r>
        <w:rPr>
          <w:rFonts w:ascii="Arial" w:hAnsi="Arial" w:cs="Arial"/>
          <w:lang w:val="it-IT" w:eastAsia="nb-NO"/>
        </w:rPr>
        <w:t>.</w:t>
      </w:r>
    </w:p>
    <w:p w14:paraId="3767DE3C" w14:textId="7FDDCD32" w:rsidR="00B131F3" w:rsidRDefault="00B131F3" w:rsidP="004F52F3">
      <w:pPr>
        <w:spacing w:line="240" w:lineRule="auto"/>
        <w:jc w:val="both"/>
        <w:rPr>
          <w:rFonts w:ascii="Arial" w:hAnsi="Arial" w:cs="Arial"/>
          <w:lang w:val="it-IT" w:eastAsia="nb-NO"/>
        </w:rPr>
      </w:pPr>
      <w:r w:rsidRPr="009F59AF">
        <w:rPr>
          <w:rFonts w:ascii="Arial" w:hAnsi="Arial" w:cs="Arial"/>
          <w:lang w:val="it-IT" w:eastAsia="nb-NO"/>
        </w:rPr>
        <w:t>Confalonieri, A.</w:t>
      </w:r>
      <w:r>
        <w:rPr>
          <w:rFonts w:ascii="Arial" w:hAnsi="Arial" w:cs="Arial"/>
          <w:lang w:val="it-IT" w:eastAsia="nb-NO"/>
        </w:rPr>
        <w:t xml:space="preserve"> and</w:t>
      </w:r>
      <w:r w:rsidRPr="009F59AF">
        <w:rPr>
          <w:rFonts w:ascii="Arial" w:hAnsi="Arial" w:cs="Arial"/>
          <w:lang w:val="it-IT" w:eastAsia="nb-NO"/>
        </w:rPr>
        <w:t xml:space="preserve"> Gatti, E. </w:t>
      </w:r>
      <w:r>
        <w:rPr>
          <w:rFonts w:ascii="Arial" w:hAnsi="Arial" w:cs="Arial"/>
          <w:lang w:val="it-IT" w:eastAsia="nb-NO"/>
        </w:rPr>
        <w:t>(</w:t>
      </w:r>
      <w:r w:rsidRPr="009F59AF">
        <w:rPr>
          <w:rFonts w:ascii="Arial" w:hAnsi="Arial" w:cs="Arial"/>
          <w:lang w:val="it-IT" w:eastAsia="nb-NO"/>
        </w:rPr>
        <w:t>1986</w:t>
      </w:r>
      <w:r>
        <w:rPr>
          <w:rFonts w:ascii="Arial" w:hAnsi="Arial" w:cs="Arial"/>
          <w:lang w:val="it-IT" w:eastAsia="nb-NO"/>
        </w:rPr>
        <w:t>)</w:t>
      </w:r>
      <w:r w:rsidRPr="009F59AF">
        <w:rPr>
          <w:rFonts w:ascii="Arial" w:hAnsi="Arial" w:cs="Arial"/>
          <w:lang w:val="it-IT" w:eastAsia="nb-NO"/>
        </w:rPr>
        <w:t xml:space="preserve">, </w:t>
      </w:r>
      <w:r w:rsidRPr="003E2F40">
        <w:rPr>
          <w:rFonts w:ascii="Arial" w:hAnsi="Arial" w:cs="Arial"/>
          <w:i/>
          <w:lang w:val="it-IT" w:eastAsia="nb-NO"/>
        </w:rPr>
        <w:t>La politica del debito pubblico in Italia, 1919-1943</w:t>
      </w:r>
      <w:r w:rsidRPr="009F59AF">
        <w:rPr>
          <w:rFonts w:ascii="Arial" w:hAnsi="Arial" w:cs="Arial"/>
          <w:lang w:val="it-IT" w:eastAsia="nb-NO"/>
        </w:rPr>
        <w:t>, Rom</w:t>
      </w:r>
      <w:r>
        <w:rPr>
          <w:rFonts w:ascii="Arial" w:hAnsi="Arial" w:cs="Arial"/>
          <w:lang w:val="it-IT" w:eastAsia="nb-NO"/>
        </w:rPr>
        <w:t>e</w:t>
      </w:r>
      <w:r w:rsidRPr="009F59AF">
        <w:rPr>
          <w:rFonts w:ascii="Arial" w:hAnsi="Arial" w:cs="Arial"/>
          <w:lang w:val="it-IT" w:eastAsia="nb-NO"/>
        </w:rPr>
        <w:t>-Bari</w:t>
      </w:r>
      <w:r w:rsidR="002471C4">
        <w:rPr>
          <w:rFonts w:ascii="Arial" w:hAnsi="Arial" w:cs="Arial"/>
          <w:lang w:val="it-IT" w:eastAsia="nb-NO"/>
        </w:rPr>
        <w:t>,</w:t>
      </w:r>
      <w:r w:rsidRPr="009F59AF">
        <w:rPr>
          <w:rFonts w:ascii="Arial" w:hAnsi="Arial" w:cs="Arial"/>
          <w:lang w:val="it-IT" w:eastAsia="nb-NO"/>
        </w:rPr>
        <w:t xml:space="preserve"> Laterza. </w:t>
      </w:r>
    </w:p>
    <w:p w14:paraId="12052240" w14:textId="251351DB" w:rsidR="005D32CB" w:rsidRPr="00A924D7" w:rsidRDefault="005D32CB" w:rsidP="005D32CB">
      <w:pPr>
        <w:spacing w:line="360" w:lineRule="auto"/>
        <w:jc w:val="both"/>
        <w:rPr>
          <w:rFonts w:ascii="Arial" w:hAnsi="Arial" w:cs="Arial"/>
          <w:lang w:val="it-IT" w:eastAsia="nb-NO"/>
        </w:rPr>
      </w:pPr>
      <w:r w:rsidRPr="00A924D7">
        <w:rPr>
          <w:rFonts w:ascii="Arial" w:hAnsi="Arial" w:cs="Arial"/>
          <w:iCs/>
          <w:lang w:val="en-GB" w:eastAsia="nb-NO"/>
        </w:rPr>
        <w:t>Flandreau</w:t>
      </w:r>
      <w:r w:rsidRPr="00A924D7">
        <w:rPr>
          <w:rFonts w:ascii="Arial" w:hAnsi="Arial" w:cs="Arial"/>
          <w:lang w:val="en-GB" w:eastAsia="nb-NO"/>
        </w:rPr>
        <w:t xml:space="preserve"> M. and </w:t>
      </w:r>
      <w:proofErr w:type="spellStart"/>
      <w:r w:rsidRPr="00A924D7">
        <w:rPr>
          <w:rFonts w:ascii="Arial" w:hAnsi="Arial" w:cs="Arial"/>
          <w:iCs/>
          <w:lang w:val="en-GB" w:eastAsia="nb-NO"/>
        </w:rPr>
        <w:t>Zumer</w:t>
      </w:r>
      <w:proofErr w:type="spellEnd"/>
      <w:r w:rsidRPr="00A924D7">
        <w:rPr>
          <w:rFonts w:ascii="Arial" w:hAnsi="Arial" w:cs="Arial"/>
          <w:lang w:val="en-GB" w:eastAsia="nb-NO"/>
        </w:rPr>
        <w:t>,</w:t>
      </w:r>
      <w:r w:rsidR="00AE1E72">
        <w:rPr>
          <w:rFonts w:ascii="Arial" w:hAnsi="Arial" w:cs="Arial"/>
          <w:lang w:val="en-GB" w:eastAsia="nb-NO"/>
        </w:rPr>
        <w:t xml:space="preserve"> </w:t>
      </w:r>
      <w:r w:rsidRPr="00A924D7">
        <w:rPr>
          <w:rFonts w:ascii="Arial" w:hAnsi="Arial" w:cs="Arial"/>
          <w:lang w:val="en-GB" w:eastAsia="nb-NO"/>
        </w:rPr>
        <w:t>F. (2004)</w:t>
      </w:r>
      <w:bookmarkStart w:id="0" w:name="_GoBack"/>
      <w:bookmarkEnd w:id="0"/>
      <w:r w:rsidR="00AE1E72">
        <w:rPr>
          <w:rFonts w:ascii="Arial" w:hAnsi="Arial" w:cs="Arial"/>
          <w:lang w:val="en-GB" w:eastAsia="nb-NO"/>
        </w:rPr>
        <w:t>,</w:t>
      </w:r>
      <w:r w:rsidRPr="00A924D7">
        <w:rPr>
          <w:rFonts w:ascii="Arial" w:hAnsi="Arial" w:cs="Arial"/>
          <w:lang w:val="en-GB" w:eastAsia="nb-NO"/>
        </w:rPr>
        <w:t xml:space="preserve"> </w:t>
      </w:r>
      <w:proofErr w:type="gramStart"/>
      <w:r w:rsidRPr="00A924D7">
        <w:rPr>
          <w:rFonts w:ascii="Arial" w:hAnsi="Arial" w:cs="Arial"/>
          <w:lang w:val="en-GB" w:eastAsia="nb-NO"/>
        </w:rPr>
        <w:t>The</w:t>
      </w:r>
      <w:proofErr w:type="gramEnd"/>
      <w:r w:rsidRPr="00A924D7">
        <w:rPr>
          <w:rFonts w:ascii="Arial" w:hAnsi="Arial" w:cs="Arial"/>
          <w:lang w:val="en-GB" w:eastAsia="nb-NO"/>
        </w:rPr>
        <w:t xml:space="preserve"> Making of Global Finance, 1880-1913. </w:t>
      </w:r>
      <w:r w:rsidRPr="00A924D7">
        <w:rPr>
          <w:rFonts w:ascii="Arial" w:hAnsi="Arial" w:cs="Arial"/>
          <w:lang w:val="it-IT" w:eastAsia="nb-NO"/>
        </w:rPr>
        <w:t>Paris</w:t>
      </w:r>
      <w:r w:rsidR="00AE1E72">
        <w:rPr>
          <w:rFonts w:ascii="Arial" w:hAnsi="Arial" w:cs="Arial"/>
          <w:lang w:val="it-IT" w:eastAsia="nb-NO"/>
        </w:rPr>
        <w:t>,</w:t>
      </w:r>
      <w:r w:rsidRPr="00A924D7">
        <w:rPr>
          <w:rFonts w:ascii="Arial" w:hAnsi="Arial" w:cs="Arial"/>
          <w:lang w:val="it-IT" w:eastAsia="nb-NO"/>
        </w:rPr>
        <w:t xml:space="preserve"> OECD</w:t>
      </w:r>
    </w:p>
    <w:p w14:paraId="7C399E7F" w14:textId="34B979E0" w:rsidR="00003BB3" w:rsidRPr="005C27CB" w:rsidRDefault="00003BB3" w:rsidP="004F52F3">
      <w:pPr>
        <w:spacing w:line="240" w:lineRule="auto"/>
        <w:jc w:val="both"/>
        <w:rPr>
          <w:rFonts w:ascii="Arial" w:hAnsi="Arial" w:cs="Arial"/>
          <w:lang w:val="it-IT" w:eastAsia="nb-NO"/>
        </w:rPr>
      </w:pPr>
      <w:r w:rsidRPr="005C27CB">
        <w:rPr>
          <w:rFonts w:ascii="Arial" w:hAnsi="Arial" w:cs="Arial"/>
          <w:lang w:val="it-IT" w:eastAsia="nb-NO"/>
        </w:rPr>
        <w:t>Ministero del Tesoro (1988), Direzione generale del debito pubblico, Relazione del direttore generale alla commissione parlamentare di vigilanza. Provvedimenti normativi sulla circolazione dei biglietti di stato e sui prestiti pubblici dal 1861 al 1987, vol. III, Istituto Poligrafico e Zecca dello Stato, Roma.</w:t>
      </w:r>
    </w:p>
    <w:p w14:paraId="0CF82216" w14:textId="745FF2B9" w:rsidR="00B131F3" w:rsidRPr="004F52F3" w:rsidRDefault="00B131F3" w:rsidP="004F52F3">
      <w:pPr>
        <w:spacing w:line="240" w:lineRule="auto"/>
        <w:jc w:val="both"/>
        <w:rPr>
          <w:rFonts w:ascii="Arial" w:hAnsi="Arial" w:cs="Arial"/>
          <w:lang w:val="it-IT" w:eastAsia="nb-NO"/>
        </w:rPr>
      </w:pPr>
      <w:r w:rsidRPr="004F52F3">
        <w:rPr>
          <w:rFonts w:ascii="Arial" w:hAnsi="Arial" w:cs="Arial"/>
          <w:lang w:val="it-IT" w:eastAsia="nb-NO"/>
        </w:rPr>
        <w:t>Piselli, P. and Vercelli, F. (20</w:t>
      </w:r>
      <w:r w:rsidR="00AE1E72">
        <w:rPr>
          <w:rFonts w:ascii="Arial" w:hAnsi="Arial" w:cs="Arial"/>
          <w:lang w:val="it-IT" w:eastAsia="nb-NO"/>
        </w:rPr>
        <w:t>23</w:t>
      </w:r>
      <w:r w:rsidRPr="004F52F3">
        <w:rPr>
          <w:rFonts w:ascii="Arial" w:hAnsi="Arial" w:cs="Arial"/>
          <w:lang w:val="it-IT" w:eastAsia="nb-NO"/>
        </w:rPr>
        <w:t xml:space="preserve">), The </w:t>
      </w:r>
      <w:proofErr w:type="spellStart"/>
      <w:r w:rsidRPr="004F52F3">
        <w:rPr>
          <w:rFonts w:ascii="Arial" w:hAnsi="Arial" w:cs="Arial"/>
          <w:lang w:val="it-IT" w:eastAsia="nb-NO"/>
        </w:rPr>
        <w:t>role</w:t>
      </w:r>
      <w:proofErr w:type="spellEnd"/>
      <w:r w:rsidRPr="004F52F3">
        <w:rPr>
          <w:rFonts w:ascii="Arial" w:hAnsi="Arial" w:cs="Arial"/>
          <w:lang w:val="it-IT" w:eastAsia="nb-NO"/>
        </w:rPr>
        <w:t xml:space="preserve"> of the </w:t>
      </w:r>
      <w:proofErr w:type="spellStart"/>
      <w:r w:rsidRPr="004F52F3">
        <w:rPr>
          <w:rFonts w:ascii="Arial" w:hAnsi="Arial" w:cs="Arial"/>
          <w:lang w:val="it-IT" w:eastAsia="nb-NO"/>
        </w:rPr>
        <w:t>banks</w:t>
      </w:r>
      <w:proofErr w:type="spellEnd"/>
      <w:r w:rsidRPr="004F52F3">
        <w:rPr>
          <w:rFonts w:ascii="Arial" w:hAnsi="Arial" w:cs="Arial"/>
          <w:lang w:val="it-IT" w:eastAsia="nb-NO"/>
        </w:rPr>
        <w:t xml:space="preserve"> in public </w:t>
      </w:r>
      <w:proofErr w:type="spellStart"/>
      <w:r w:rsidRPr="004F52F3">
        <w:rPr>
          <w:rFonts w:ascii="Arial" w:hAnsi="Arial" w:cs="Arial"/>
          <w:lang w:val="it-IT" w:eastAsia="nb-NO"/>
        </w:rPr>
        <w:t>debt</w:t>
      </w:r>
      <w:proofErr w:type="spellEnd"/>
      <w:r w:rsidRPr="004F52F3">
        <w:rPr>
          <w:rFonts w:ascii="Arial" w:hAnsi="Arial" w:cs="Arial"/>
          <w:lang w:val="it-IT" w:eastAsia="nb-NO"/>
        </w:rPr>
        <w:t xml:space="preserve"> </w:t>
      </w:r>
      <w:proofErr w:type="spellStart"/>
      <w:r w:rsidRPr="004F52F3">
        <w:rPr>
          <w:rFonts w:ascii="Arial" w:hAnsi="Arial" w:cs="Arial"/>
          <w:lang w:val="it-IT" w:eastAsia="nb-NO"/>
        </w:rPr>
        <w:t>financing</w:t>
      </w:r>
      <w:proofErr w:type="spellEnd"/>
      <w:r w:rsidRPr="004F52F3">
        <w:rPr>
          <w:rFonts w:ascii="Arial" w:hAnsi="Arial" w:cs="Arial"/>
          <w:lang w:val="it-IT" w:eastAsia="nb-NO"/>
        </w:rPr>
        <w:t xml:space="preserve"> 1890-2016, Banca d’Italia, </w:t>
      </w:r>
      <w:proofErr w:type="spellStart"/>
      <w:r w:rsidR="00AE1E72">
        <w:rPr>
          <w:rFonts w:ascii="Arial" w:hAnsi="Arial" w:cs="Arial"/>
          <w:lang w:val="it-IT" w:eastAsia="nb-NO"/>
        </w:rPr>
        <w:t>Economic</w:t>
      </w:r>
      <w:proofErr w:type="spellEnd"/>
      <w:r w:rsidR="00AE1E72">
        <w:rPr>
          <w:rFonts w:ascii="Arial" w:hAnsi="Arial" w:cs="Arial"/>
          <w:lang w:val="it-IT" w:eastAsia="nb-NO"/>
        </w:rPr>
        <w:t xml:space="preserve"> </w:t>
      </w:r>
      <w:proofErr w:type="spellStart"/>
      <w:r w:rsidR="00AE1E72">
        <w:rPr>
          <w:rFonts w:ascii="Arial" w:hAnsi="Arial" w:cs="Arial"/>
          <w:lang w:val="it-IT" w:eastAsia="nb-NO"/>
        </w:rPr>
        <w:t>History</w:t>
      </w:r>
      <w:proofErr w:type="spellEnd"/>
      <w:r w:rsidR="00AE1E72">
        <w:rPr>
          <w:rFonts w:ascii="Arial" w:hAnsi="Arial" w:cs="Arial"/>
          <w:lang w:val="it-IT" w:eastAsia="nb-NO"/>
        </w:rPr>
        <w:t xml:space="preserve"> </w:t>
      </w:r>
      <w:proofErr w:type="spellStart"/>
      <w:r w:rsidR="00AE1E72">
        <w:rPr>
          <w:rFonts w:ascii="Arial" w:hAnsi="Arial" w:cs="Arial"/>
          <w:lang w:val="it-IT" w:eastAsia="nb-NO"/>
        </w:rPr>
        <w:t>Working</w:t>
      </w:r>
      <w:proofErr w:type="spellEnd"/>
      <w:r w:rsidR="00AE1E72">
        <w:rPr>
          <w:rFonts w:ascii="Arial" w:hAnsi="Arial" w:cs="Arial"/>
          <w:lang w:val="it-IT" w:eastAsia="nb-NO"/>
        </w:rPr>
        <w:t xml:space="preserve"> </w:t>
      </w:r>
      <w:proofErr w:type="spellStart"/>
      <w:r w:rsidR="00AE1E72">
        <w:rPr>
          <w:rFonts w:ascii="Arial" w:hAnsi="Arial" w:cs="Arial"/>
          <w:lang w:val="it-IT" w:eastAsia="nb-NO"/>
        </w:rPr>
        <w:t>Papers</w:t>
      </w:r>
      <w:proofErr w:type="spellEnd"/>
      <w:r w:rsidR="00AE1E72">
        <w:rPr>
          <w:rFonts w:ascii="Arial" w:hAnsi="Arial" w:cs="Arial"/>
          <w:lang w:val="it-IT" w:eastAsia="nb-NO"/>
        </w:rPr>
        <w:t xml:space="preserve">, </w:t>
      </w:r>
      <w:proofErr w:type="spellStart"/>
      <w:r w:rsidR="00AE1E72" w:rsidRPr="00AE1E72">
        <w:rPr>
          <w:rFonts w:ascii="Arial" w:hAnsi="Arial" w:cs="Arial"/>
          <w:i/>
          <w:lang w:val="it-IT" w:eastAsia="nb-NO"/>
        </w:rPr>
        <w:t>forthcoming</w:t>
      </w:r>
      <w:proofErr w:type="spellEnd"/>
      <w:r w:rsidRPr="004F52F3">
        <w:rPr>
          <w:rFonts w:ascii="Arial" w:hAnsi="Arial" w:cs="Arial"/>
          <w:lang w:val="it-IT" w:eastAsia="nb-NO"/>
        </w:rPr>
        <w:t>.</w:t>
      </w:r>
    </w:p>
    <w:p w14:paraId="235C154F" w14:textId="674B2E46" w:rsidR="00003BB3" w:rsidRDefault="00003BB3" w:rsidP="004F52F3">
      <w:pPr>
        <w:spacing w:line="240" w:lineRule="auto"/>
        <w:jc w:val="both"/>
        <w:rPr>
          <w:rFonts w:ascii="Arial" w:hAnsi="Arial" w:cs="Arial"/>
          <w:lang w:val="it-IT" w:eastAsia="nb-NO"/>
        </w:rPr>
      </w:pPr>
      <w:proofErr w:type="spellStart"/>
      <w:r w:rsidRPr="00003BB3">
        <w:rPr>
          <w:rFonts w:ascii="Arial" w:hAnsi="Arial" w:cs="Arial"/>
          <w:lang w:val="it-IT" w:eastAsia="nb-NO"/>
        </w:rPr>
        <w:t>Rosania</w:t>
      </w:r>
      <w:proofErr w:type="spellEnd"/>
      <w:r w:rsidRPr="00003BB3">
        <w:rPr>
          <w:rFonts w:ascii="Arial" w:hAnsi="Arial" w:cs="Arial"/>
          <w:lang w:val="it-IT" w:eastAsia="nb-NO"/>
        </w:rPr>
        <w:t xml:space="preserve"> L. (1954) Indice del corso secco e rendimento dei titoli quotati in borsa, Appendice al</w:t>
      </w:r>
      <w:r>
        <w:rPr>
          <w:rFonts w:ascii="Arial" w:hAnsi="Arial" w:cs="Arial"/>
          <w:lang w:val="it-IT" w:eastAsia="nb-NO"/>
        </w:rPr>
        <w:t xml:space="preserve"> </w:t>
      </w:r>
      <w:r w:rsidR="00AE1E72">
        <w:rPr>
          <w:rFonts w:ascii="Arial" w:hAnsi="Arial" w:cs="Arial"/>
          <w:lang w:val="it-IT" w:eastAsia="nb-NO"/>
        </w:rPr>
        <w:t>B</w:t>
      </w:r>
      <w:r>
        <w:rPr>
          <w:rFonts w:ascii="Arial" w:hAnsi="Arial" w:cs="Arial"/>
          <w:lang w:val="it-IT" w:eastAsia="nb-NO"/>
        </w:rPr>
        <w:t>ollettino, n. 6</w:t>
      </w:r>
      <w:r w:rsidRPr="00003BB3">
        <w:rPr>
          <w:rFonts w:ascii="Arial" w:hAnsi="Arial" w:cs="Arial"/>
          <w:lang w:val="it-IT" w:eastAsia="nb-NO"/>
        </w:rPr>
        <w:t>.</w:t>
      </w:r>
    </w:p>
    <w:p w14:paraId="4A1215DD" w14:textId="77777777" w:rsidR="003A2436" w:rsidRPr="003A2436" w:rsidRDefault="003A2436" w:rsidP="003A2436">
      <w:pPr>
        <w:spacing w:line="240" w:lineRule="auto"/>
        <w:jc w:val="both"/>
        <w:rPr>
          <w:rFonts w:ascii="Arial" w:hAnsi="Arial" w:cs="Arial"/>
          <w:lang w:val="it-IT" w:eastAsia="nb-NO"/>
        </w:rPr>
      </w:pPr>
      <w:r w:rsidRPr="003A2436">
        <w:rPr>
          <w:rFonts w:ascii="Arial" w:hAnsi="Arial" w:cs="Arial"/>
          <w:lang w:val="it-IT" w:eastAsia="nb-NO"/>
        </w:rPr>
        <w:t xml:space="preserve">Tattara, G. (2003), </w:t>
      </w:r>
      <w:proofErr w:type="spellStart"/>
      <w:r w:rsidRPr="003A2436">
        <w:rPr>
          <w:rFonts w:ascii="Arial" w:hAnsi="Arial" w:cs="Arial"/>
          <w:lang w:val="it-IT" w:eastAsia="nb-NO"/>
        </w:rPr>
        <w:t>Paper</w:t>
      </w:r>
      <w:proofErr w:type="spellEnd"/>
      <w:r w:rsidRPr="003A2436">
        <w:rPr>
          <w:rFonts w:ascii="Arial" w:hAnsi="Arial" w:cs="Arial"/>
          <w:lang w:val="it-IT" w:eastAsia="nb-NO"/>
        </w:rPr>
        <w:t xml:space="preserve"> Money </w:t>
      </w:r>
      <w:proofErr w:type="spellStart"/>
      <w:r w:rsidRPr="003A2436">
        <w:rPr>
          <w:rFonts w:ascii="Arial" w:hAnsi="Arial" w:cs="Arial"/>
          <w:lang w:val="it-IT" w:eastAsia="nb-NO"/>
        </w:rPr>
        <w:t>but</w:t>
      </w:r>
      <w:proofErr w:type="spellEnd"/>
      <w:r w:rsidRPr="003A2436">
        <w:rPr>
          <w:rFonts w:ascii="Arial" w:hAnsi="Arial" w:cs="Arial"/>
          <w:lang w:val="it-IT" w:eastAsia="nb-NO"/>
        </w:rPr>
        <w:t xml:space="preserve"> a Gold </w:t>
      </w:r>
      <w:proofErr w:type="spellStart"/>
      <w:r w:rsidRPr="003A2436">
        <w:rPr>
          <w:rFonts w:ascii="Arial" w:hAnsi="Arial" w:cs="Arial"/>
          <w:lang w:val="it-IT" w:eastAsia="nb-NO"/>
        </w:rPr>
        <w:t>Debt</w:t>
      </w:r>
      <w:proofErr w:type="spellEnd"/>
      <w:r w:rsidRPr="003A2436">
        <w:rPr>
          <w:rFonts w:ascii="Arial" w:hAnsi="Arial" w:cs="Arial"/>
          <w:lang w:val="it-IT" w:eastAsia="nb-NO"/>
        </w:rPr>
        <w:t xml:space="preserve">: </w:t>
      </w:r>
      <w:proofErr w:type="spellStart"/>
      <w:r w:rsidRPr="003A2436">
        <w:rPr>
          <w:rFonts w:ascii="Arial" w:hAnsi="Arial" w:cs="Arial"/>
          <w:lang w:val="it-IT" w:eastAsia="nb-NO"/>
        </w:rPr>
        <w:t>Italy</w:t>
      </w:r>
      <w:proofErr w:type="spellEnd"/>
      <w:r w:rsidRPr="003A2436">
        <w:rPr>
          <w:rFonts w:ascii="Arial" w:hAnsi="Arial" w:cs="Arial"/>
          <w:lang w:val="it-IT" w:eastAsia="nb-NO"/>
        </w:rPr>
        <w:t xml:space="preserve"> on the Gold Standard, </w:t>
      </w:r>
      <w:proofErr w:type="spellStart"/>
      <w:r w:rsidRPr="003A2436">
        <w:rPr>
          <w:rFonts w:ascii="Arial" w:hAnsi="Arial" w:cs="Arial"/>
          <w:lang w:val="it-IT" w:eastAsia="nb-NO"/>
        </w:rPr>
        <w:t>Explorations</w:t>
      </w:r>
      <w:proofErr w:type="spellEnd"/>
      <w:r w:rsidRPr="003A2436">
        <w:rPr>
          <w:rFonts w:ascii="Arial" w:hAnsi="Arial" w:cs="Arial"/>
          <w:lang w:val="it-IT" w:eastAsia="nb-NO"/>
        </w:rPr>
        <w:t xml:space="preserve"> in </w:t>
      </w:r>
      <w:proofErr w:type="spellStart"/>
      <w:r w:rsidRPr="003A2436">
        <w:rPr>
          <w:rFonts w:ascii="Arial" w:hAnsi="Arial" w:cs="Arial"/>
          <w:lang w:val="it-IT" w:eastAsia="nb-NO"/>
        </w:rPr>
        <w:t>Economic</w:t>
      </w:r>
      <w:proofErr w:type="spellEnd"/>
      <w:r w:rsidRPr="003A2436">
        <w:rPr>
          <w:rFonts w:ascii="Arial" w:hAnsi="Arial" w:cs="Arial"/>
          <w:lang w:val="it-IT" w:eastAsia="nb-NO"/>
        </w:rPr>
        <w:t xml:space="preserve"> </w:t>
      </w:r>
      <w:proofErr w:type="spellStart"/>
      <w:r w:rsidRPr="003A2436">
        <w:rPr>
          <w:rFonts w:ascii="Arial" w:hAnsi="Arial" w:cs="Arial"/>
          <w:lang w:val="it-IT" w:eastAsia="nb-NO"/>
        </w:rPr>
        <w:t>History</w:t>
      </w:r>
      <w:proofErr w:type="spellEnd"/>
      <w:r w:rsidRPr="003A2436">
        <w:rPr>
          <w:rFonts w:ascii="Arial" w:hAnsi="Arial" w:cs="Arial"/>
          <w:lang w:val="it-IT" w:eastAsia="nb-NO"/>
        </w:rPr>
        <w:t>, 40:2, pp. 122-42.Toniolo, G. (1993), Il profilo economico, in: Guarino, G., Toniolo, G. (</w:t>
      </w:r>
      <w:proofErr w:type="spellStart"/>
      <w:r w:rsidRPr="003A2436">
        <w:rPr>
          <w:rFonts w:ascii="Arial" w:hAnsi="Arial" w:cs="Arial"/>
          <w:lang w:val="it-IT" w:eastAsia="nb-NO"/>
        </w:rPr>
        <w:t>Eds</w:t>
      </w:r>
      <w:proofErr w:type="spellEnd"/>
      <w:r w:rsidRPr="003A2436">
        <w:rPr>
          <w:rFonts w:ascii="Arial" w:hAnsi="Arial" w:cs="Arial"/>
          <w:lang w:val="it-IT" w:eastAsia="nb-NO"/>
        </w:rPr>
        <w:t xml:space="preserve">.), </w:t>
      </w:r>
      <w:hyperlink r:id="rId8" w:history="1">
        <w:r w:rsidRPr="003A2436">
          <w:rPr>
            <w:rStyle w:val="Collegamentoipertestuale"/>
            <w:rFonts w:ascii="Arial" w:hAnsi="Arial" w:cs="Arial"/>
            <w:color w:val="auto"/>
            <w:lang w:val="it-IT" w:eastAsia="nb-NO"/>
          </w:rPr>
          <w:t>La Banca d’Italia e il sistema bancario 1919-1936</w:t>
        </w:r>
      </w:hyperlink>
      <w:r w:rsidRPr="003A2436">
        <w:rPr>
          <w:rFonts w:ascii="Arial" w:hAnsi="Arial" w:cs="Arial"/>
          <w:lang w:val="it-IT" w:eastAsia="nb-NO"/>
        </w:rPr>
        <w:t>, Rome-Bari, Laterza (Collana storica della Banca d’Italia, Documenti VII).</w:t>
      </w:r>
    </w:p>
    <w:p w14:paraId="678DE835" w14:textId="77777777" w:rsidR="003A2436" w:rsidRPr="00064371" w:rsidRDefault="003A2436" w:rsidP="004F52F3">
      <w:pPr>
        <w:spacing w:line="240" w:lineRule="auto"/>
        <w:jc w:val="both"/>
        <w:rPr>
          <w:rFonts w:ascii="Arial" w:hAnsi="Arial" w:cs="Arial"/>
          <w:lang w:val="it-IT" w:eastAsia="nb-NO"/>
        </w:rPr>
      </w:pPr>
    </w:p>
    <w:sectPr w:rsidR="003A2436" w:rsidRPr="0006437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9CFFB" w14:textId="77777777" w:rsidR="00836430" w:rsidRDefault="00836430" w:rsidP="009F59AF">
      <w:pPr>
        <w:spacing w:after="0" w:line="240" w:lineRule="auto"/>
      </w:pPr>
      <w:r>
        <w:separator/>
      </w:r>
    </w:p>
  </w:endnote>
  <w:endnote w:type="continuationSeparator" w:id="0">
    <w:p w14:paraId="5691EE02" w14:textId="77777777" w:rsidR="00836430" w:rsidRDefault="00836430" w:rsidP="009F5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6EBE0" w14:textId="77777777" w:rsidR="00836430" w:rsidRDefault="00836430" w:rsidP="009F59AF">
      <w:pPr>
        <w:spacing w:after="0" w:line="240" w:lineRule="auto"/>
      </w:pPr>
      <w:r>
        <w:separator/>
      </w:r>
    </w:p>
  </w:footnote>
  <w:footnote w:type="continuationSeparator" w:id="0">
    <w:p w14:paraId="261295EC" w14:textId="77777777" w:rsidR="00836430" w:rsidRDefault="00836430" w:rsidP="009F59AF">
      <w:pPr>
        <w:spacing w:after="0" w:line="240" w:lineRule="auto"/>
      </w:pPr>
      <w:r>
        <w:continuationSeparator/>
      </w:r>
    </w:p>
  </w:footnote>
  <w:footnote w:id="1">
    <w:p w14:paraId="45C6818F" w14:textId="77777777" w:rsidR="00F63657" w:rsidRPr="00F63657" w:rsidRDefault="00F63657" w:rsidP="00F63657">
      <w:pPr>
        <w:pStyle w:val="Testonotaapidipagina"/>
        <w:jc w:val="both"/>
        <w:rPr>
          <w:rFonts w:ascii="Arial" w:hAnsi="Arial" w:cs="Arial"/>
          <w:sz w:val="18"/>
          <w:szCs w:val="18"/>
          <w:lang w:val="en-GB"/>
        </w:rPr>
      </w:pPr>
      <w:r>
        <w:rPr>
          <w:rStyle w:val="Rimandonotaapidipagina"/>
        </w:rPr>
        <w:footnoteRef/>
      </w:r>
      <w:r>
        <w:t xml:space="preserve"> </w:t>
      </w:r>
      <w:r w:rsidRPr="00F63657">
        <w:rPr>
          <w:rFonts w:ascii="Arial" w:hAnsi="Arial" w:cs="Arial"/>
          <w:sz w:val="18"/>
          <w:szCs w:val="18"/>
          <w:lang w:val="en-GB"/>
        </w:rPr>
        <w:t>Yield from 1971.3 to 1977.2 refers to 12 month-BOT only.</w:t>
      </w:r>
    </w:p>
  </w:footnote>
  <w:footnote w:id="2">
    <w:p w14:paraId="58FFBD29" w14:textId="77777777" w:rsidR="00544E11" w:rsidRPr="006A60A3" w:rsidRDefault="00544E11" w:rsidP="00544E11">
      <w:pPr>
        <w:pStyle w:val="Testonotaapidipagina"/>
        <w:jc w:val="both"/>
        <w:rPr>
          <w:rFonts w:ascii="Arial" w:hAnsi="Arial" w:cs="Arial"/>
          <w:sz w:val="18"/>
          <w:szCs w:val="18"/>
          <w:lang w:val="en-GB"/>
        </w:rPr>
      </w:pPr>
      <w:r w:rsidRPr="006A60A3">
        <w:rPr>
          <w:rStyle w:val="Rimandonotaapidipagina"/>
          <w:rFonts w:ascii="Arial" w:hAnsi="Arial" w:cs="Arial"/>
          <w:sz w:val="18"/>
          <w:szCs w:val="18"/>
          <w:lang w:val="en-GB"/>
        </w:rPr>
        <w:footnoteRef/>
      </w:r>
      <w:r w:rsidRPr="006A60A3">
        <w:rPr>
          <w:rFonts w:ascii="Arial" w:hAnsi="Arial" w:cs="Arial"/>
          <w:sz w:val="18"/>
          <w:szCs w:val="18"/>
          <w:lang w:val="en-GB"/>
        </w:rPr>
        <w:t xml:space="preserve"> The methodology for computation of yields </w:t>
      </w:r>
      <w:proofErr w:type="gramStart"/>
      <w:r w:rsidRPr="006A60A3">
        <w:rPr>
          <w:rFonts w:ascii="Arial" w:hAnsi="Arial" w:cs="Arial"/>
          <w:sz w:val="18"/>
          <w:szCs w:val="18"/>
          <w:lang w:val="en-GB"/>
        </w:rPr>
        <w:t>is described</w:t>
      </w:r>
      <w:proofErr w:type="gramEnd"/>
      <w:r w:rsidRPr="006A60A3">
        <w:rPr>
          <w:rFonts w:ascii="Arial" w:hAnsi="Arial" w:cs="Arial"/>
          <w:sz w:val="18"/>
          <w:szCs w:val="18"/>
          <w:lang w:val="en-GB"/>
        </w:rPr>
        <w:t xml:space="preserve"> in detail in </w:t>
      </w:r>
      <w:proofErr w:type="spellStart"/>
      <w:r w:rsidRPr="006A60A3">
        <w:rPr>
          <w:rFonts w:ascii="Arial" w:hAnsi="Arial" w:cs="Arial"/>
          <w:sz w:val="18"/>
          <w:szCs w:val="18"/>
          <w:lang w:val="en-GB"/>
        </w:rPr>
        <w:t>Rosania</w:t>
      </w:r>
      <w:proofErr w:type="spellEnd"/>
      <w:r w:rsidRPr="006A60A3">
        <w:rPr>
          <w:rFonts w:ascii="Arial" w:hAnsi="Arial" w:cs="Arial"/>
          <w:sz w:val="18"/>
          <w:szCs w:val="18"/>
          <w:lang w:val="en-GB"/>
        </w:rPr>
        <w:t xml:space="preserve"> (1954).</w:t>
      </w:r>
    </w:p>
  </w:footnote>
  <w:footnote w:id="3">
    <w:p w14:paraId="6608AF99" w14:textId="77777777" w:rsidR="00544E11" w:rsidRPr="006A60A3" w:rsidRDefault="00544E11" w:rsidP="00544E11">
      <w:pPr>
        <w:pStyle w:val="Testonotaapidipagina"/>
        <w:jc w:val="both"/>
        <w:rPr>
          <w:rFonts w:ascii="Arial" w:hAnsi="Arial" w:cs="Arial"/>
          <w:sz w:val="18"/>
          <w:szCs w:val="18"/>
          <w:lang w:val="en-GB"/>
        </w:rPr>
      </w:pPr>
      <w:r w:rsidRPr="006A60A3">
        <w:rPr>
          <w:rStyle w:val="Rimandonotaapidipagina"/>
          <w:rFonts w:ascii="Arial" w:hAnsi="Arial" w:cs="Arial"/>
          <w:sz w:val="18"/>
          <w:szCs w:val="18"/>
          <w:lang w:val="en-GB"/>
        </w:rPr>
        <w:footnoteRef/>
      </w:r>
      <w:r w:rsidRPr="006A60A3">
        <w:rPr>
          <w:rFonts w:ascii="Arial" w:hAnsi="Arial" w:cs="Arial"/>
          <w:sz w:val="18"/>
          <w:szCs w:val="18"/>
          <w:lang w:val="en-GB"/>
        </w:rPr>
        <w:t xml:space="preserve"> Data refers to bonds traded in Italian Stock Exchanges. The </w:t>
      </w:r>
      <w:proofErr w:type="spellStart"/>
      <w:r w:rsidRPr="006A60A3">
        <w:rPr>
          <w:rFonts w:ascii="Arial" w:hAnsi="Arial" w:cs="Arial"/>
          <w:sz w:val="18"/>
          <w:szCs w:val="18"/>
          <w:lang w:val="en-GB"/>
        </w:rPr>
        <w:t>rendita</w:t>
      </w:r>
      <w:proofErr w:type="spellEnd"/>
      <w:r w:rsidRPr="006A60A3">
        <w:rPr>
          <w:rFonts w:ascii="Arial" w:hAnsi="Arial" w:cs="Arial"/>
          <w:sz w:val="18"/>
          <w:szCs w:val="18"/>
          <w:lang w:val="en-GB"/>
        </w:rPr>
        <w:t xml:space="preserve"> </w:t>
      </w:r>
      <w:proofErr w:type="gramStart"/>
      <w:r w:rsidRPr="006A60A3">
        <w:rPr>
          <w:rFonts w:ascii="Arial" w:hAnsi="Arial" w:cs="Arial"/>
          <w:sz w:val="18"/>
          <w:szCs w:val="18"/>
          <w:lang w:val="en-GB"/>
        </w:rPr>
        <w:t>were also sold</w:t>
      </w:r>
      <w:proofErr w:type="gramEnd"/>
      <w:r w:rsidRPr="006A60A3">
        <w:rPr>
          <w:rFonts w:ascii="Arial" w:hAnsi="Arial" w:cs="Arial"/>
          <w:sz w:val="18"/>
          <w:szCs w:val="18"/>
          <w:lang w:val="en-GB"/>
        </w:rPr>
        <w:t xml:space="preserve"> elsewhere in Europe, primarily in France and, although they were denominated in liras, holders of the debt had the privilege of converting their coupons into gold at the official exchange rate in Paris. </w:t>
      </w:r>
      <w:proofErr w:type="spellStart"/>
      <w:r w:rsidRPr="006A60A3">
        <w:rPr>
          <w:rFonts w:ascii="Arial" w:hAnsi="Arial" w:cs="Arial"/>
          <w:sz w:val="18"/>
          <w:szCs w:val="18"/>
          <w:lang w:val="en-GB"/>
        </w:rPr>
        <w:t>Tattara</w:t>
      </w:r>
      <w:proofErr w:type="spellEnd"/>
      <w:r w:rsidRPr="006A60A3">
        <w:rPr>
          <w:rFonts w:ascii="Arial" w:hAnsi="Arial" w:cs="Arial"/>
          <w:sz w:val="18"/>
          <w:szCs w:val="18"/>
          <w:lang w:val="en-GB"/>
        </w:rPr>
        <w:t xml:space="preserve"> (2003) explores the consequence of this on differences in domestic and foreign prices and yields. In addition, yields do not account for conversion risk (Flandreau and </w:t>
      </w:r>
      <w:proofErr w:type="spellStart"/>
      <w:r w:rsidRPr="006A60A3">
        <w:rPr>
          <w:rFonts w:ascii="Arial" w:hAnsi="Arial" w:cs="Arial"/>
          <w:sz w:val="18"/>
          <w:szCs w:val="18"/>
          <w:lang w:val="en-GB"/>
        </w:rPr>
        <w:t>Zumer</w:t>
      </w:r>
      <w:proofErr w:type="spellEnd"/>
      <w:r w:rsidRPr="006A60A3">
        <w:rPr>
          <w:rFonts w:ascii="Arial" w:hAnsi="Arial" w:cs="Arial"/>
          <w:sz w:val="18"/>
          <w:szCs w:val="18"/>
          <w:lang w:val="en-GB"/>
        </w:rPr>
        <w:t xml:space="preserve"> (2004)), although the </w:t>
      </w:r>
      <w:proofErr w:type="spellStart"/>
      <w:r w:rsidRPr="006A60A3">
        <w:rPr>
          <w:rFonts w:ascii="Arial" w:hAnsi="Arial" w:cs="Arial"/>
          <w:sz w:val="18"/>
          <w:szCs w:val="18"/>
          <w:lang w:val="en-GB"/>
        </w:rPr>
        <w:t>rendita</w:t>
      </w:r>
      <w:proofErr w:type="spellEnd"/>
      <w:r w:rsidRPr="006A60A3">
        <w:rPr>
          <w:rFonts w:ascii="Arial" w:hAnsi="Arial" w:cs="Arial"/>
          <w:sz w:val="18"/>
          <w:szCs w:val="18"/>
          <w:lang w:val="en-GB"/>
        </w:rPr>
        <w:t xml:space="preserve"> went through some significant conversions (1906 and 1934 being the most important).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5F15"/>
    <w:multiLevelType w:val="multilevel"/>
    <w:tmpl w:val="FAC86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6E74775"/>
    <w:multiLevelType w:val="multilevel"/>
    <w:tmpl w:val="905812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CA40376"/>
    <w:multiLevelType w:val="singleLevel"/>
    <w:tmpl w:val="FA1A44FA"/>
    <w:lvl w:ilvl="0">
      <w:start w:val="1"/>
      <w:numFmt w:val="decimal"/>
      <w:pStyle w:val="Elenco"/>
      <w:lvlText w:val="%1)"/>
      <w:lvlJc w:val="left"/>
      <w:pPr>
        <w:ind w:left="360" w:hanging="360"/>
      </w:pPr>
      <w:rPr>
        <w:rFonts w:hint="default"/>
      </w:rPr>
    </w:lvl>
  </w:abstractNum>
  <w:abstractNum w:abstractNumId="3" w15:restartNumberingAfterBreak="0">
    <w:nsid w:val="66F81590"/>
    <w:multiLevelType w:val="multilevel"/>
    <w:tmpl w:val="D9923D86"/>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15:restartNumberingAfterBreak="0">
    <w:nsid w:val="6EB61472"/>
    <w:multiLevelType w:val="multilevel"/>
    <w:tmpl w:val="286E900A"/>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
  </w:num>
  <w:num w:numId="2">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6">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7">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8">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9">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0">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1">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2">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9AF"/>
    <w:rsid w:val="00003BB3"/>
    <w:rsid w:val="00003EF4"/>
    <w:rsid w:val="0000642B"/>
    <w:rsid w:val="0001379D"/>
    <w:rsid w:val="000179A8"/>
    <w:rsid w:val="0002396B"/>
    <w:rsid w:val="00025B99"/>
    <w:rsid w:val="0003048F"/>
    <w:rsid w:val="00030E96"/>
    <w:rsid w:val="000324F6"/>
    <w:rsid w:val="000347DA"/>
    <w:rsid w:val="00035104"/>
    <w:rsid w:val="0004781F"/>
    <w:rsid w:val="00047A08"/>
    <w:rsid w:val="0005286E"/>
    <w:rsid w:val="000550BB"/>
    <w:rsid w:val="00056951"/>
    <w:rsid w:val="00062A53"/>
    <w:rsid w:val="00074BB9"/>
    <w:rsid w:val="0007668E"/>
    <w:rsid w:val="00077237"/>
    <w:rsid w:val="00077D9D"/>
    <w:rsid w:val="00080577"/>
    <w:rsid w:val="000829B3"/>
    <w:rsid w:val="000837CE"/>
    <w:rsid w:val="00084C7F"/>
    <w:rsid w:val="00087F28"/>
    <w:rsid w:val="000930DE"/>
    <w:rsid w:val="000940E3"/>
    <w:rsid w:val="000944B6"/>
    <w:rsid w:val="000A4071"/>
    <w:rsid w:val="000A5237"/>
    <w:rsid w:val="000B04ED"/>
    <w:rsid w:val="000B1381"/>
    <w:rsid w:val="000B1900"/>
    <w:rsid w:val="000B2DA4"/>
    <w:rsid w:val="000C1CD6"/>
    <w:rsid w:val="000C1E36"/>
    <w:rsid w:val="000C2CB4"/>
    <w:rsid w:val="000C5A40"/>
    <w:rsid w:val="000C7015"/>
    <w:rsid w:val="000D26CC"/>
    <w:rsid w:val="000E07F0"/>
    <w:rsid w:val="000E4288"/>
    <w:rsid w:val="000E4F5F"/>
    <w:rsid w:val="000F3AD1"/>
    <w:rsid w:val="00104A65"/>
    <w:rsid w:val="00113427"/>
    <w:rsid w:val="001156E6"/>
    <w:rsid w:val="00115B64"/>
    <w:rsid w:val="001172B6"/>
    <w:rsid w:val="001175C9"/>
    <w:rsid w:val="00120FA3"/>
    <w:rsid w:val="00121255"/>
    <w:rsid w:val="00130AF1"/>
    <w:rsid w:val="00133329"/>
    <w:rsid w:val="00134D12"/>
    <w:rsid w:val="0013547C"/>
    <w:rsid w:val="00135499"/>
    <w:rsid w:val="001508B8"/>
    <w:rsid w:val="001729CA"/>
    <w:rsid w:val="0017434B"/>
    <w:rsid w:val="00175A83"/>
    <w:rsid w:val="001820B5"/>
    <w:rsid w:val="001922BF"/>
    <w:rsid w:val="00193CF9"/>
    <w:rsid w:val="001A1992"/>
    <w:rsid w:val="001A345A"/>
    <w:rsid w:val="001B0F12"/>
    <w:rsid w:val="001B314B"/>
    <w:rsid w:val="001B37D5"/>
    <w:rsid w:val="001B56FE"/>
    <w:rsid w:val="001C1915"/>
    <w:rsid w:val="001C7E39"/>
    <w:rsid w:val="00203304"/>
    <w:rsid w:val="00205D17"/>
    <w:rsid w:val="002063C0"/>
    <w:rsid w:val="00215335"/>
    <w:rsid w:val="0021683E"/>
    <w:rsid w:val="00216CCF"/>
    <w:rsid w:val="0021743E"/>
    <w:rsid w:val="0021782C"/>
    <w:rsid w:val="00220D56"/>
    <w:rsid w:val="0022336A"/>
    <w:rsid w:val="00224ADC"/>
    <w:rsid w:val="002261E6"/>
    <w:rsid w:val="0022705A"/>
    <w:rsid w:val="00232902"/>
    <w:rsid w:val="00245467"/>
    <w:rsid w:val="002471C4"/>
    <w:rsid w:val="00250A25"/>
    <w:rsid w:val="002518EC"/>
    <w:rsid w:val="0025344A"/>
    <w:rsid w:val="00264155"/>
    <w:rsid w:val="00266121"/>
    <w:rsid w:val="00272136"/>
    <w:rsid w:val="002722A8"/>
    <w:rsid w:val="00284BDB"/>
    <w:rsid w:val="002860AD"/>
    <w:rsid w:val="002930F1"/>
    <w:rsid w:val="00295C8F"/>
    <w:rsid w:val="00297CEB"/>
    <w:rsid w:val="002A1E71"/>
    <w:rsid w:val="002A2476"/>
    <w:rsid w:val="002A2FC5"/>
    <w:rsid w:val="002A2FF3"/>
    <w:rsid w:val="002A37B5"/>
    <w:rsid w:val="002A4355"/>
    <w:rsid w:val="002A5E2E"/>
    <w:rsid w:val="002A7E8F"/>
    <w:rsid w:val="002B1453"/>
    <w:rsid w:val="002B3382"/>
    <w:rsid w:val="002B6213"/>
    <w:rsid w:val="002C1516"/>
    <w:rsid w:val="002C26C6"/>
    <w:rsid w:val="002C2748"/>
    <w:rsid w:val="002D3BB0"/>
    <w:rsid w:val="002D698A"/>
    <w:rsid w:val="002D7709"/>
    <w:rsid w:val="002E09DE"/>
    <w:rsid w:val="002E777C"/>
    <w:rsid w:val="002F0986"/>
    <w:rsid w:val="002F1607"/>
    <w:rsid w:val="002F3148"/>
    <w:rsid w:val="00301856"/>
    <w:rsid w:val="00304426"/>
    <w:rsid w:val="003046CA"/>
    <w:rsid w:val="00310020"/>
    <w:rsid w:val="0031726C"/>
    <w:rsid w:val="00317FCC"/>
    <w:rsid w:val="00322457"/>
    <w:rsid w:val="00326831"/>
    <w:rsid w:val="003521C8"/>
    <w:rsid w:val="0035356A"/>
    <w:rsid w:val="00366BD5"/>
    <w:rsid w:val="00367176"/>
    <w:rsid w:val="00380D39"/>
    <w:rsid w:val="0038150B"/>
    <w:rsid w:val="00387E8C"/>
    <w:rsid w:val="00393CEB"/>
    <w:rsid w:val="003A230F"/>
    <w:rsid w:val="003A2436"/>
    <w:rsid w:val="003A5E1A"/>
    <w:rsid w:val="003A6229"/>
    <w:rsid w:val="003B4681"/>
    <w:rsid w:val="003D34EC"/>
    <w:rsid w:val="003D7309"/>
    <w:rsid w:val="003E5444"/>
    <w:rsid w:val="003E7C3E"/>
    <w:rsid w:val="003F3976"/>
    <w:rsid w:val="003F7356"/>
    <w:rsid w:val="004036B3"/>
    <w:rsid w:val="00405E86"/>
    <w:rsid w:val="00406A71"/>
    <w:rsid w:val="0041267A"/>
    <w:rsid w:val="00413B92"/>
    <w:rsid w:val="00417D9A"/>
    <w:rsid w:val="00423B07"/>
    <w:rsid w:val="0042529C"/>
    <w:rsid w:val="00425663"/>
    <w:rsid w:val="00425E94"/>
    <w:rsid w:val="00427829"/>
    <w:rsid w:val="00427BF8"/>
    <w:rsid w:val="00432AA7"/>
    <w:rsid w:val="00432C51"/>
    <w:rsid w:val="00437483"/>
    <w:rsid w:val="00444FFE"/>
    <w:rsid w:val="004461E7"/>
    <w:rsid w:val="004530D1"/>
    <w:rsid w:val="004630D1"/>
    <w:rsid w:val="00485924"/>
    <w:rsid w:val="004869DA"/>
    <w:rsid w:val="00491064"/>
    <w:rsid w:val="00494E8E"/>
    <w:rsid w:val="004B0DBD"/>
    <w:rsid w:val="004B66A4"/>
    <w:rsid w:val="004C4289"/>
    <w:rsid w:val="004C61BA"/>
    <w:rsid w:val="004D2BFD"/>
    <w:rsid w:val="004E4CF5"/>
    <w:rsid w:val="004E50F1"/>
    <w:rsid w:val="004F51B2"/>
    <w:rsid w:val="004F52F3"/>
    <w:rsid w:val="005020AB"/>
    <w:rsid w:val="00507431"/>
    <w:rsid w:val="00512C23"/>
    <w:rsid w:val="00526AE5"/>
    <w:rsid w:val="0052768B"/>
    <w:rsid w:val="00527A21"/>
    <w:rsid w:val="005320AA"/>
    <w:rsid w:val="00534D56"/>
    <w:rsid w:val="005369DA"/>
    <w:rsid w:val="00544E11"/>
    <w:rsid w:val="00552D74"/>
    <w:rsid w:val="00553345"/>
    <w:rsid w:val="00561469"/>
    <w:rsid w:val="00563DE3"/>
    <w:rsid w:val="00563EA8"/>
    <w:rsid w:val="00567EEB"/>
    <w:rsid w:val="005835FC"/>
    <w:rsid w:val="00585443"/>
    <w:rsid w:val="00585ADD"/>
    <w:rsid w:val="0058600F"/>
    <w:rsid w:val="00586998"/>
    <w:rsid w:val="005A4B44"/>
    <w:rsid w:val="005A792A"/>
    <w:rsid w:val="005B6653"/>
    <w:rsid w:val="005B6C2A"/>
    <w:rsid w:val="005B7E5F"/>
    <w:rsid w:val="005C0C62"/>
    <w:rsid w:val="005C27CB"/>
    <w:rsid w:val="005D2419"/>
    <w:rsid w:val="005D3152"/>
    <w:rsid w:val="005D32CB"/>
    <w:rsid w:val="005D59D3"/>
    <w:rsid w:val="005E04C2"/>
    <w:rsid w:val="005E62B4"/>
    <w:rsid w:val="005F1761"/>
    <w:rsid w:val="005F5A4D"/>
    <w:rsid w:val="005F6708"/>
    <w:rsid w:val="005F7D36"/>
    <w:rsid w:val="0060274F"/>
    <w:rsid w:val="00602C47"/>
    <w:rsid w:val="00605C96"/>
    <w:rsid w:val="00612616"/>
    <w:rsid w:val="0062054C"/>
    <w:rsid w:val="0062079F"/>
    <w:rsid w:val="00620B99"/>
    <w:rsid w:val="00620F46"/>
    <w:rsid w:val="00623EC5"/>
    <w:rsid w:val="0062539C"/>
    <w:rsid w:val="006310E8"/>
    <w:rsid w:val="006314CF"/>
    <w:rsid w:val="0063169E"/>
    <w:rsid w:val="00640828"/>
    <w:rsid w:val="00641EB1"/>
    <w:rsid w:val="00643CA9"/>
    <w:rsid w:val="00645F22"/>
    <w:rsid w:val="00654F15"/>
    <w:rsid w:val="0065594C"/>
    <w:rsid w:val="00656F64"/>
    <w:rsid w:val="0066167A"/>
    <w:rsid w:val="00664773"/>
    <w:rsid w:val="00665FE0"/>
    <w:rsid w:val="0066765A"/>
    <w:rsid w:val="00670C92"/>
    <w:rsid w:val="00672563"/>
    <w:rsid w:val="0067322D"/>
    <w:rsid w:val="006760A3"/>
    <w:rsid w:val="00685684"/>
    <w:rsid w:val="006961FA"/>
    <w:rsid w:val="006A0EE1"/>
    <w:rsid w:val="006A1D5A"/>
    <w:rsid w:val="006A6D52"/>
    <w:rsid w:val="006B21F8"/>
    <w:rsid w:val="006B2281"/>
    <w:rsid w:val="006B5257"/>
    <w:rsid w:val="006D0231"/>
    <w:rsid w:val="006D5597"/>
    <w:rsid w:val="006E31D3"/>
    <w:rsid w:val="006E3AF9"/>
    <w:rsid w:val="006E4685"/>
    <w:rsid w:val="006F43F9"/>
    <w:rsid w:val="0070099B"/>
    <w:rsid w:val="00703188"/>
    <w:rsid w:val="00703320"/>
    <w:rsid w:val="007132B9"/>
    <w:rsid w:val="007175C2"/>
    <w:rsid w:val="0071769A"/>
    <w:rsid w:val="00721980"/>
    <w:rsid w:val="007225F4"/>
    <w:rsid w:val="00724A86"/>
    <w:rsid w:val="007376EF"/>
    <w:rsid w:val="007404BE"/>
    <w:rsid w:val="00744819"/>
    <w:rsid w:val="00750F11"/>
    <w:rsid w:val="00755785"/>
    <w:rsid w:val="0075749D"/>
    <w:rsid w:val="00760AFE"/>
    <w:rsid w:val="007616D1"/>
    <w:rsid w:val="0076180D"/>
    <w:rsid w:val="007641D8"/>
    <w:rsid w:val="007649CE"/>
    <w:rsid w:val="00764BC8"/>
    <w:rsid w:val="007702D9"/>
    <w:rsid w:val="00795BF8"/>
    <w:rsid w:val="00797811"/>
    <w:rsid w:val="007A3422"/>
    <w:rsid w:val="007A44E1"/>
    <w:rsid w:val="007A4C79"/>
    <w:rsid w:val="007A50BB"/>
    <w:rsid w:val="007A5BF6"/>
    <w:rsid w:val="007B4E83"/>
    <w:rsid w:val="007B6BEE"/>
    <w:rsid w:val="007C4149"/>
    <w:rsid w:val="007C5A56"/>
    <w:rsid w:val="007C6EB0"/>
    <w:rsid w:val="007D033F"/>
    <w:rsid w:val="007D0477"/>
    <w:rsid w:val="007D120B"/>
    <w:rsid w:val="007D37CA"/>
    <w:rsid w:val="007D6001"/>
    <w:rsid w:val="007D73F6"/>
    <w:rsid w:val="007D7D62"/>
    <w:rsid w:val="007E2CE8"/>
    <w:rsid w:val="007E2FD8"/>
    <w:rsid w:val="007E4CAF"/>
    <w:rsid w:val="007F0A44"/>
    <w:rsid w:val="007F2610"/>
    <w:rsid w:val="007F29EE"/>
    <w:rsid w:val="007F77B5"/>
    <w:rsid w:val="008017E4"/>
    <w:rsid w:val="00805711"/>
    <w:rsid w:val="0081188C"/>
    <w:rsid w:val="0081786F"/>
    <w:rsid w:val="00820399"/>
    <w:rsid w:val="0082080A"/>
    <w:rsid w:val="008245BB"/>
    <w:rsid w:val="00826E26"/>
    <w:rsid w:val="008355E7"/>
    <w:rsid w:val="00836430"/>
    <w:rsid w:val="00841D80"/>
    <w:rsid w:val="00842D97"/>
    <w:rsid w:val="00842F20"/>
    <w:rsid w:val="00846E9A"/>
    <w:rsid w:val="00850821"/>
    <w:rsid w:val="008567C8"/>
    <w:rsid w:val="008617D1"/>
    <w:rsid w:val="008644E4"/>
    <w:rsid w:val="00865985"/>
    <w:rsid w:val="008669F6"/>
    <w:rsid w:val="00867728"/>
    <w:rsid w:val="00871294"/>
    <w:rsid w:val="00871BA6"/>
    <w:rsid w:val="00872871"/>
    <w:rsid w:val="00877BC1"/>
    <w:rsid w:val="00883F8A"/>
    <w:rsid w:val="00884C6A"/>
    <w:rsid w:val="00892DF1"/>
    <w:rsid w:val="008946F1"/>
    <w:rsid w:val="00895397"/>
    <w:rsid w:val="008958BB"/>
    <w:rsid w:val="008971EB"/>
    <w:rsid w:val="008A0CF2"/>
    <w:rsid w:val="008A2F78"/>
    <w:rsid w:val="008A7EBB"/>
    <w:rsid w:val="008B3F79"/>
    <w:rsid w:val="008B50B1"/>
    <w:rsid w:val="008B704F"/>
    <w:rsid w:val="008C0292"/>
    <w:rsid w:val="008C123C"/>
    <w:rsid w:val="008C1977"/>
    <w:rsid w:val="008C4342"/>
    <w:rsid w:val="008D1A5E"/>
    <w:rsid w:val="008E3293"/>
    <w:rsid w:val="008F5D67"/>
    <w:rsid w:val="0090018F"/>
    <w:rsid w:val="00905CF9"/>
    <w:rsid w:val="00905D03"/>
    <w:rsid w:val="009077F0"/>
    <w:rsid w:val="00912865"/>
    <w:rsid w:val="009156DC"/>
    <w:rsid w:val="009202F2"/>
    <w:rsid w:val="00927FB4"/>
    <w:rsid w:val="00937B4F"/>
    <w:rsid w:val="00940DD4"/>
    <w:rsid w:val="009424E8"/>
    <w:rsid w:val="0094794F"/>
    <w:rsid w:val="00951335"/>
    <w:rsid w:val="00951A24"/>
    <w:rsid w:val="00953280"/>
    <w:rsid w:val="00956BC2"/>
    <w:rsid w:val="009661ED"/>
    <w:rsid w:val="00972D50"/>
    <w:rsid w:val="009840AE"/>
    <w:rsid w:val="009A0394"/>
    <w:rsid w:val="009B0A55"/>
    <w:rsid w:val="009B2206"/>
    <w:rsid w:val="009B5C21"/>
    <w:rsid w:val="009B637F"/>
    <w:rsid w:val="009D4D24"/>
    <w:rsid w:val="009D760B"/>
    <w:rsid w:val="009E05AF"/>
    <w:rsid w:val="009E22B2"/>
    <w:rsid w:val="009E4CF9"/>
    <w:rsid w:val="009E4E19"/>
    <w:rsid w:val="009E70EB"/>
    <w:rsid w:val="009F0538"/>
    <w:rsid w:val="009F1697"/>
    <w:rsid w:val="009F1AA7"/>
    <w:rsid w:val="009F59AF"/>
    <w:rsid w:val="00A06C05"/>
    <w:rsid w:val="00A07933"/>
    <w:rsid w:val="00A10C43"/>
    <w:rsid w:val="00A11435"/>
    <w:rsid w:val="00A115F0"/>
    <w:rsid w:val="00A12B48"/>
    <w:rsid w:val="00A16B6D"/>
    <w:rsid w:val="00A16C6F"/>
    <w:rsid w:val="00A179B3"/>
    <w:rsid w:val="00A21466"/>
    <w:rsid w:val="00A223B7"/>
    <w:rsid w:val="00A248DF"/>
    <w:rsid w:val="00A301BD"/>
    <w:rsid w:val="00A346D7"/>
    <w:rsid w:val="00A47B58"/>
    <w:rsid w:val="00A63858"/>
    <w:rsid w:val="00A65E72"/>
    <w:rsid w:val="00A72991"/>
    <w:rsid w:val="00A75FC8"/>
    <w:rsid w:val="00A779CA"/>
    <w:rsid w:val="00A81F78"/>
    <w:rsid w:val="00A83696"/>
    <w:rsid w:val="00A847F3"/>
    <w:rsid w:val="00A84C4D"/>
    <w:rsid w:val="00A924D7"/>
    <w:rsid w:val="00A93292"/>
    <w:rsid w:val="00AA3C28"/>
    <w:rsid w:val="00AB1C41"/>
    <w:rsid w:val="00AB6B09"/>
    <w:rsid w:val="00AE1E72"/>
    <w:rsid w:val="00AF79C0"/>
    <w:rsid w:val="00AF7C7C"/>
    <w:rsid w:val="00B131F3"/>
    <w:rsid w:val="00B16E7D"/>
    <w:rsid w:val="00B20BAF"/>
    <w:rsid w:val="00B25758"/>
    <w:rsid w:val="00B260A6"/>
    <w:rsid w:val="00B26380"/>
    <w:rsid w:val="00B30E04"/>
    <w:rsid w:val="00B3402E"/>
    <w:rsid w:val="00B43EE2"/>
    <w:rsid w:val="00B5098D"/>
    <w:rsid w:val="00B50C46"/>
    <w:rsid w:val="00B55D3E"/>
    <w:rsid w:val="00B5630A"/>
    <w:rsid w:val="00B65BA8"/>
    <w:rsid w:val="00B67EEB"/>
    <w:rsid w:val="00B703EE"/>
    <w:rsid w:val="00B7303E"/>
    <w:rsid w:val="00B740ED"/>
    <w:rsid w:val="00B75051"/>
    <w:rsid w:val="00B819E5"/>
    <w:rsid w:val="00B8377E"/>
    <w:rsid w:val="00B84A39"/>
    <w:rsid w:val="00B90A54"/>
    <w:rsid w:val="00B936C4"/>
    <w:rsid w:val="00B93A29"/>
    <w:rsid w:val="00B97FD4"/>
    <w:rsid w:val="00BA1646"/>
    <w:rsid w:val="00BA6BC1"/>
    <w:rsid w:val="00BB7DA4"/>
    <w:rsid w:val="00BC2DC8"/>
    <w:rsid w:val="00BC3E2A"/>
    <w:rsid w:val="00BC56C6"/>
    <w:rsid w:val="00BD36A8"/>
    <w:rsid w:val="00BD4925"/>
    <w:rsid w:val="00BD507A"/>
    <w:rsid w:val="00BD7BEF"/>
    <w:rsid w:val="00BE0C8B"/>
    <w:rsid w:val="00BE0D79"/>
    <w:rsid w:val="00BF2106"/>
    <w:rsid w:val="00BF297E"/>
    <w:rsid w:val="00C01F86"/>
    <w:rsid w:val="00C02891"/>
    <w:rsid w:val="00C12718"/>
    <w:rsid w:val="00C13850"/>
    <w:rsid w:val="00C13907"/>
    <w:rsid w:val="00C1777F"/>
    <w:rsid w:val="00C204EC"/>
    <w:rsid w:val="00C23012"/>
    <w:rsid w:val="00C2448C"/>
    <w:rsid w:val="00C25089"/>
    <w:rsid w:val="00C259DE"/>
    <w:rsid w:val="00C266AE"/>
    <w:rsid w:val="00C27A5B"/>
    <w:rsid w:val="00C31874"/>
    <w:rsid w:val="00C35A3D"/>
    <w:rsid w:val="00C43B92"/>
    <w:rsid w:val="00C4636E"/>
    <w:rsid w:val="00C50D7A"/>
    <w:rsid w:val="00C524BE"/>
    <w:rsid w:val="00C53846"/>
    <w:rsid w:val="00C5594E"/>
    <w:rsid w:val="00C608AF"/>
    <w:rsid w:val="00C622F9"/>
    <w:rsid w:val="00C63707"/>
    <w:rsid w:val="00C645E6"/>
    <w:rsid w:val="00C72717"/>
    <w:rsid w:val="00C72CB2"/>
    <w:rsid w:val="00C75D49"/>
    <w:rsid w:val="00C83D1A"/>
    <w:rsid w:val="00C9157F"/>
    <w:rsid w:val="00C91877"/>
    <w:rsid w:val="00C921D6"/>
    <w:rsid w:val="00CA1470"/>
    <w:rsid w:val="00CA1E80"/>
    <w:rsid w:val="00CA274F"/>
    <w:rsid w:val="00CA64CD"/>
    <w:rsid w:val="00CA74D1"/>
    <w:rsid w:val="00CB192A"/>
    <w:rsid w:val="00CB5569"/>
    <w:rsid w:val="00CB62EA"/>
    <w:rsid w:val="00CC3CEA"/>
    <w:rsid w:val="00CC6AE6"/>
    <w:rsid w:val="00CE4820"/>
    <w:rsid w:val="00CE5D2C"/>
    <w:rsid w:val="00CE6144"/>
    <w:rsid w:val="00CF0C8A"/>
    <w:rsid w:val="00CF4A02"/>
    <w:rsid w:val="00CF5368"/>
    <w:rsid w:val="00CF6656"/>
    <w:rsid w:val="00CF6F49"/>
    <w:rsid w:val="00D03C9F"/>
    <w:rsid w:val="00D06564"/>
    <w:rsid w:val="00D07863"/>
    <w:rsid w:val="00D11CCB"/>
    <w:rsid w:val="00D1763D"/>
    <w:rsid w:val="00D278CF"/>
    <w:rsid w:val="00D33147"/>
    <w:rsid w:val="00D336E2"/>
    <w:rsid w:val="00D33EF6"/>
    <w:rsid w:val="00D35BEA"/>
    <w:rsid w:val="00D37688"/>
    <w:rsid w:val="00D40F9C"/>
    <w:rsid w:val="00D50E0D"/>
    <w:rsid w:val="00D81804"/>
    <w:rsid w:val="00D8600C"/>
    <w:rsid w:val="00D87166"/>
    <w:rsid w:val="00D8778B"/>
    <w:rsid w:val="00D90330"/>
    <w:rsid w:val="00D90F46"/>
    <w:rsid w:val="00DA4D90"/>
    <w:rsid w:val="00DB5ADE"/>
    <w:rsid w:val="00DB6D98"/>
    <w:rsid w:val="00DB6DDE"/>
    <w:rsid w:val="00DC7767"/>
    <w:rsid w:val="00DD0AED"/>
    <w:rsid w:val="00DD396D"/>
    <w:rsid w:val="00DD3C2D"/>
    <w:rsid w:val="00DD50B6"/>
    <w:rsid w:val="00DD5B58"/>
    <w:rsid w:val="00DE1099"/>
    <w:rsid w:val="00DE497D"/>
    <w:rsid w:val="00DE7616"/>
    <w:rsid w:val="00DF3CF2"/>
    <w:rsid w:val="00DF5C53"/>
    <w:rsid w:val="00DF776D"/>
    <w:rsid w:val="00E02D34"/>
    <w:rsid w:val="00E05E5C"/>
    <w:rsid w:val="00E07921"/>
    <w:rsid w:val="00E105C5"/>
    <w:rsid w:val="00E10D90"/>
    <w:rsid w:val="00E112F8"/>
    <w:rsid w:val="00E16F8B"/>
    <w:rsid w:val="00E212C3"/>
    <w:rsid w:val="00E26CE8"/>
    <w:rsid w:val="00E30631"/>
    <w:rsid w:val="00E319F1"/>
    <w:rsid w:val="00E3623D"/>
    <w:rsid w:val="00E408D4"/>
    <w:rsid w:val="00E40A3B"/>
    <w:rsid w:val="00E43E9B"/>
    <w:rsid w:val="00E462C1"/>
    <w:rsid w:val="00E530FF"/>
    <w:rsid w:val="00E532AC"/>
    <w:rsid w:val="00E53EF9"/>
    <w:rsid w:val="00E55CE5"/>
    <w:rsid w:val="00E66DBA"/>
    <w:rsid w:val="00E805F3"/>
    <w:rsid w:val="00E8552A"/>
    <w:rsid w:val="00E85AB6"/>
    <w:rsid w:val="00E97343"/>
    <w:rsid w:val="00E97CE0"/>
    <w:rsid w:val="00EA2C3F"/>
    <w:rsid w:val="00EB24D8"/>
    <w:rsid w:val="00EB49F9"/>
    <w:rsid w:val="00EB7CA5"/>
    <w:rsid w:val="00EC0C6C"/>
    <w:rsid w:val="00EC0D3F"/>
    <w:rsid w:val="00EC6174"/>
    <w:rsid w:val="00EE08CE"/>
    <w:rsid w:val="00EE1680"/>
    <w:rsid w:val="00EE1845"/>
    <w:rsid w:val="00EE29AF"/>
    <w:rsid w:val="00EF0D8F"/>
    <w:rsid w:val="00EF5462"/>
    <w:rsid w:val="00F03282"/>
    <w:rsid w:val="00F065E8"/>
    <w:rsid w:val="00F12BDC"/>
    <w:rsid w:val="00F14B26"/>
    <w:rsid w:val="00F165DE"/>
    <w:rsid w:val="00F17081"/>
    <w:rsid w:val="00F206AC"/>
    <w:rsid w:val="00F21891"/>
    <w:rsid w:val="00F2256C"/>
    <w:rsid w:val="00F25648"/>
    <w:rsid w:val="00F26D3A"/>
    <w:rsid w:val="00F30A3E"/>
    <w:rsid w:val="00F3214A"/>
    <w:rsid w:val="00F32B30"/>
    <w:rsid w:val="00F37ECA"/>
    <w:rsid w:val="00F41DC4"/>
    <w:rsid w:val="00F4501B"/>
    <w:rsid w:val="00F458B3"/>
    <w:rsid w:val="00F53134"/>
    <w:rsid w:val="00F53D15"/>
    <w:rsid w:val="00F60A16"/>
    <w:rsid w:val="00F616E8"/>
    <w:rsid w:val="00F62FB3"/>
    <w:rsid w:val="00F63657"/>
    <w:rsid w:val="00F64E53"/>
    <w:rsid w:val="00F7205E"/>
    <w:rsid w:val="00F7419E"/>
    <w:rsid w:val="00F80658"/>
    <w:rsid w:val="00F8167E"/>
    <w:rsid w:val="00F859B9"/>
    <w:rsid w:val="00F94DD1"/>
    <w:rsid w:val="00F9797F"/>
    <w:rsid w:val="00FB2B39"/>
    <w:rsid w:val="00FB7710"/>
    <w:rsid w:val="00FC1AA9"/>
    <w:rsid w:val="00FC35C6"/>
    <w:rsid w:val="00FC6DA6"/>
    <w:rsid w:val="00FD6857"/>
    <w:rsid w:val="00FD7E20"/>
    <w:rsid w:val="00FE161F"/>
    <w:rsid w:val="00FE474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2C52B"/>
  <w15:docId w15:val="{87D880BC-BEC0-4CD8-BFD7-F4CAED2C1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3280"/>
    <w:rPr>
      <w:rFonts w:eastAsiaTheme="minorEastAsia"/>
      <w:lang w:val="nb-NO"/>
    </w:rPr>
  </w:style>
  <w:style w:type="paragraph" w:styleId="Titolo2">
    <w:name w:val="heading 2"/>
    <w:basedOn w:val="Normale"/>
    <w:next w:val="Normale"/>
    <w:link w:val="Titolo2Carattere"/>
    <w:uiPriority w:val="9"/>
    <w:unhideWhenUsed/>
    <w:qFormat/>
    <w:rsid w:val="009F59AF"/>
    <w:pPr>
      <w:spacing w:before="200" w:after="0"/>
      <w:outlineLvl w:val="1"/>
    </w:pPr>
    <w:rPr>
      <w:rFonts w:eastAsiaTheme="majorEastAsia" w:cstheme="majorBidi"/>
      <w:b/>
      <w:bCs/>
      <w:sz w:val="26"/>
      <w:szCs w:val="26"/>
    </w:rPr>
  </w:style>
  <w:style w:type="paragraph" w:styleId="Titolo3">
    <w:name w:val="heading 3"/>
    <w:basedOn w:val="Normale"/>
    <w:next w:val="Normale"/>
    <w:link w:val="Titolo3Carattere"/>
    <w:uiPriority w:val="9"/>
    <w:semiHidden/>
    <w:unhideWhenUsed/>
    <w:qFormat/>
    <w:rsid w:val="00B93A2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9F59AF"/>
    <w:rPr>
      <w:rFonts w:eastAsiaTheme="majorEastAsia" w:cstheme="majorBidi"/>
      <w:b/>
      <w:bCs/>
      <w:sz w:val="26"/>
      <w:szCs w:val="26"/>
      <w:lang w:val="nb-NO"/>
    </w:rPr>
  </w:style>
  <w:style w:type="paragraph" w:styleId="Elenco">
    <w:name w:val="List"/>
    <w:aliases w:val="Nummerliste"/>
    <w:basedOn w:val="Paragrafoelenco"/>
    <w:uiPriority w:val="99"/>
    <w:rsid w:val="009F59AF"/>
    <w:pPr>
      <w:numPr>
        <w:numId w:val="1"/>
      </w:numPr>
    </w:pPr>
  </w:style>
  <w:style w:type="paragraph" w:styleId="Paragrafoelenco">
    <w:name w:val="List Paragraph"/>
    <w:basedOn w:val="Normale"/>
    <w:uiPriority w:val="34"/>
    <w:qFormat/>
    <w:rsid w:val="009F59AF"/>
    <w:pPr>
      <w:ind w:left="720"/>
      <w:contextualSpacing/>
    </w:pPr>
  </w:style>
  <w:style w:type="character" w:styleId="Rimandonotaapidipagina">
    <w:name w:val="footnote reference"/>
    <w:basedOn w:val="Carpredefinitoparagrafo"/>
    <w:uiPriority w:val="99"/>
    <w:unhideWhenUsed/>
    <w:rsid w:val="009F59AF"/>
    <w:rPr>
      <w:vertAlign w:val="superscript"/>
    </w:rPr>
  </w:style>
  <w:style w:type="character" w:styleId="Collegamentoipertestuale">
    <w:name w:val="Hyperlink"/>
    <w:basedOn w:val="Carpredefinitoparagrafo"/>
    <w:uiPriority w:val="99"/>
    <w:unhideWhenUsed/>
    <w:rsid w:val="009F59AF"/>
    <w:rPr>
      <w:strike w:val="0"/>
      <w:dstrike w:val="0"/>
      <w:color w:val="2C7399"/>
      <w:u w:val="none"/>
      <w:effect w:val="none"/>
      <w:shd w:val="clear" w:color="auto" w:fill="auto"/>
    </w:rPr>
  </w:style>
  <w:style w:type="paragraph" w:styleId="Testonotaapidipagina">
    <w:name w:val="footnote text"/>
    <w:basedOn w:val="Normale"/>
    <w:link w:val="TestonotaapidipaginaCarattere"/>
    <w:uiPriority w:val="99"/>
    <w:unhideWhenUsed/>
    <w:rsid w:val="009F59AF"/>
    <w:rPr>
      <w:sz w:val="20"/>
    </w:rPr>
  </w:style>
  <w:style w:type="character" w:customStyle="1" w:styleId="TestonotaapidipaginaCarattere">
    <w:name w:val="Testo nota a piè di pagina Carattere"/>
    <w:basedOn w:val="Carpredefinitoparagrafo"/>
    <w:link w:val="Testonotaapidipagina"/>
    <w:uiPriority w:val="99"/>
    <w:rsid w:val="009F59AF"/>
    <w:rPr>
      <w:rFonts w:eastAsiaTheme="minorEastAsia"/>
      <w:sz w:val="20"/>
      <w:lang w:val="nb-NO"/>
    </w:rPr>
  </w:style>
  <w:style w:type="paragraph" w:customStyle="1" w:styleId="Listeafsnit1">
    <w:name w:val="Listeafsnit1"/>
    <w:basedOn w:val="Normale"/>
    <w:uiPriority w:val="34"/>
    <w:qFormat/>
    <w:rsid w:val="009F59AF"/>
    <w:pPr>
      <w:spacing w:after="0" w:line="240" w:lineRule="auto"/>
      <w:ind w:left="720"/>
      <w:contextualSpacing/>
    </w:pPr>
    <w:rPr>
      <w:rFonts w:ascii="Arial" w:eastAsia="Times New Roman" w:hAnsi="Arial" w:cs="Times New Roman"/>
      <w:szCs w:val="20"/>
    </w:rPr>
  </w:style>
  <w:style w:type="paragraph" w:styleId="Testofumetto">
    <w:name w:val="Balloon Text"/>
    <w:basedOn w:val="Normale"/>
    <w:link w:val="TestofumettoCarattere"/>
    <w:uiPriority w:val="99"/>
    <w:semiHidden/>
    <w:unhideWhenUsed/>
    <w:rsid w:val="00A346D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46D7"/>
    <w:rPr>
      <w:rFonts w:ascii="Tahoma" w:eastAsiaTheme="minorEastAsia" w:hAnsi="Tahoma" w:cs="Tahoma"/>
      <w:sz w:val="16"/>
      <w:szCs w:val="16"/>
      <w:lang w:val="nb-NO"/>
    </w:rPr>
  </w:style>
  <w:style w:type="character" w:styleId="Rimandocommento">
    <w:name w:val="annotation reference"/>
    <w:basedOn w:val="Carpredefinitoparagrafo"/>
    <w:uiPriority w:val="99"/>
    <w:semiHidden/>
    <w:unhideWhenUsed/>
    <w:rsid w:val="000A4071"/>
    <w:rPr>
      <w:sz w:val="16"/>
      <w:szCs w:val="16"/>
    </w:rPr>
  </w:style>
  <w:style w:type="paragraph" w:styleId="Testocommento">
    <w:name w:val="annotation text"/>
    <w:basedOn w:val="Normale"/>
    <w:link w:val="TestocommentoCarattere"/>
    <w:uiPriority w:val="99"/>
    <w:unhideWhenUsed/>
    <w:rsid w:val="000A4071"/>
    <w:pPr>
      <w:spacing w:line="240" w:lineRule="auto"/>
    </w:pPr>
    <w:rPr>
      <w:sz w:val="20"/>
      <w:szCs w:val="20"/>
    </w:rPr>
  </w:style>
  <w:style w:type="character" w:customStyle="1" w:styleId="TestocommentoCarattere">
    <w:name w:val="Testo commento Carattere"/>
    <w:basedOn w:val="Carpredefinitoparagrafo"/>
    <w:link w:val="Testocommento"/>
    <w:uiPriority w:val="99"/>
    <w:rsid w:val="000A4071"/>
    <w:rPr>
      <w:rFonts w:eastAsiaTheme="minorEastAsia"/>
      <w:sz w:val="20"/>
      <w:szCs w:val="20"/>
      <w:lang w:val="nb-NO"/>
    </w:rPr>
  </w:style>
  <w:style w:type="paragraph" w:styleId="Soggettocommento">
    <w:name w:val="annotation subject"/>
    <w:basedOn w:val="Testocommento"/>
    <w:next w:val="Testocommento"/>
    <w:link w:val="SoggettocommentoCarattere"/>
    <w:uiPriority w:val="99"/>
    <w:semiHidden/>
    <w:unhideWhenUsed/>
    <w:rsid w:val="000A4071"/>
    <w:rPr>
      <w:b/>
      <w:bCs/>
    </w:rPr>
  </w:style>
  <w:style w:type="character" w:customStyle="1" w:styleId="SoggettocommentoCarattere">
    <w:name w:val="Soggetto commento Carattere"/>
    <w:basedOn w:val="TestocommentoCarattere"/>
    <w:link w:val="Soggettocommento"/>
    <w:uiPriority w:val="99"/>
    <w:semiHidden/>
    <w:rsid w:val="000A4071"/>
    <w:rPr>
      <w:rFonts w:eastAsiaTheme="minorEastAsia"/>
      <w:b/>
      <w:bCs/>
      <w:sz w:val="20"/>
      <w:szCs w:val="20"/>
      <w:lang w:val="nb-NO"/>
    </w:rPr>
  </w:style>
  <w:style w:type="character" w:styleId="Collegamentovisitato">
    <w:name w:val="FollowedHyperlink"/>
    <w:basedOn w:val="Carpredefinitoparagrafo"/>
    <w:uiPriority w:val="99"/>
    <w:semiHidden/>
    <w:unhideWhenUsed/>
    <w:rsid w:val="00905D03"/>
    <w:rPr>
      <w:color w:val="800080" w:themeColor="followedHyperlink"/>
      <w:u w:val="single"/>
    </w:rPr>
  </w:style>
  <w:style w:type="paragraph" w:styleId="PreformattatoHTML">
    <w:name w:val="HTML Preformatted"/>
    <w:basedOn w:val="Normale"/>
    <w:link w:val="PreformattatoHTMLCarattere"/>
    <w:uiPriority w:val="99"/>
    <w:semiHidden/>
    <w:unhideWhenUsed/>
    <w:rsid w:val="007D1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7D120B"/>
    <w:rPr>
      <w:rFonts w:ascii="Courier New" w:eastAsia="Times New Roman" w:hAnsi="Courier New" w:cs="Courier New"/>
      <w:sz w:val="20"/>
      <w:szCs w:val="20"/>
      <w:lang w:eastAsia="it-IT"/>
    </w:rPr>
  </w:style>
  <w:style w:type="character" w:customStyle="1" w:styleId="y2iqfc">
    <w:name w:val="y2iqfc"/>
    <w:basedOn w:val="Carpredefinitoparagrafo"/>
    <w:rsid w:val="007D120B"/>
  </w:style>
  <w:style w:type="character" w:customStyle="1" w:styleId="markedcontent">
    <w:name w:val="markedcontent"/>
    <w:basedOn w:val="Carpredefinitoparagrafo"/>
    <w:rsid w:val="00703188"/>
  </w:style>
  <w:style w:type="paragraph" w:styleId="Revisione">
    <w:name w:val="Revision"/>
    <w:hidden/>
    <w:uiPriority w:val="99"/>
    <w:semiHidden/>
    <w:rsid w:val="007D0477"/>
    <w:pPr>
      <w:spacing w:after="0" w:line="240" w:lineRule="auto"/>
    </w:pPr>
    <w:rPr>
      <w:rFonts w:eastAsiaTheme="minorEastAsia"/>
      <w:lang w:val="nb-NO"/>
    </w:rPr>
  </w:style>
  <w:style w:type="paragraph" w:customStyle="1" w:styleId="Default">
    <w:name w:val="Default"/>
    <w:rsid w:val="00494E8E"/>
    <w:pPr>
      <w:autoSpaceDE w:val="0"/>
      <w:autoSpaceDN w:val="0"/>
      <w:adjustRightInd w:val="0"/>
      <w:spacing w:after="0" w:line="240" w:lineRule="auto"/>
    </w:pPr>
    <w:rPr>
      <w:rFonts w:ascii="Segoe UI" w:hAnsi="Segoe UI" w:cs="Segoe UI"/>
      <w:color w:val="000000"/>
      <w:sz w:val="24"/>
      <w:szCs w:val="24"/>
    </w:rPr>
  </w:style>
  <w:style w:type="paragraph" w:styleId="Intestazione">
    <w:name w:val="header"/>
    <w:basedOn w:val="Normale"/>
    <w:link w:val="IntestazioneCarattere"/>
    <w:uiPriority w:val="99"/>
    <w:unhideWhenUsed/>
    <w:rsid w:val="00134D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34D12"/>
    <w:rPr>
      <w:rFonts w:eastAsiaTheme="minorEastAsia"/>
      <w:lang w:val="nb-NO"/>
    </w:rPr>
  </w:style>
  <w:style w:type="paragraph" w:styleId="Pidipagina">
    <w:name w:val="footer"/>
    <w:basedOn w:val="Normale"/>
    <w:link w:val="PidipaginaCarattere"/>
    <w:uiPriority w:val="99"/>
    <w:unhideWhenUsed/>
    <w:rsid w:val="00134D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34D12"/>
    <w:rPr>
      <w:rFonts w:eastAsiaTheme="minorEastAsia"/>
      <w:lang w:val="nb-NO"/>
    </w:rPr>
  </w:style>
  <w:style w:type="character" w:customStyle="1" w:styleId="Titolo3Carattere">
    <w:name w:val="Titolo 3 Carattere"/>
    <w:basedOn w:val="Carpredefinitoparagrafo"/>
    <w:link w:val="Titolo3"/>
    <w:uiPriority w:val="9"/>
    <w:semiHidden/>
    <w:rsid w:val="00B93A29"/>
    <w:rPr>
      <w:rFonts w:asciiTheme="majorHAnsi" w:eastAsiaTheme="majorEastAsia" w:hAnsiTheme="majorHAnsi" w:cstheme="majorBidi"/>
      <w:color w:val="243F60" w:themeColor="accent1" w:themeShade="7F"/>
      <w:sz w:val="24"/>
      <w:szCs w:val="24"/>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172946">
      <w:bodyDiv w:val="1"/>
      <w:marLeft w:val="0"/>
      <w:marRight w:val="0"/>
      <w:marTop w:val="0"/>
      <w:marBottom w:val="0"/>
      <w:divBdr>
        <w:top w:val="none" w:sz="0" w:space="0" w:color="auto"/>
        <w:left w:val="none" w:sz="0" w:space="0" w:color="auto"/>
        <w:bottom w:val="none" w:sz="0" w:space="0" w:color="auto"/>
        <w:right w:val="none" w:sz="0" w:space="0" w:color="auto"/>
      </w:divBdr>
    </w:div>
    <w:div w:id="794131001">
      <w:bodyDiv w:val="1"/>
      <w:marLeft w:val="0"/>
      <w:marRight w:val="0"/>
      <w:marTop w:val="0"/>
      <w:marBottom w:val="0"/>
      <w:divBdr>
        <w:top w:val="none" w:sz="0" w:space="0" w:color="auto"/>
        <w:left w:val="none" w:sz="0" w:space="0" w:color="auto"/>
        <w:bottom w:val="none" w:sz="0" w:space="0" w:color="auto"/>
        <w:right w:val="none" w:sz="0" w:space="0" w:color="auto"/>
      </w:divBdr>
    </w:div>
    <w:div w:id="1831168352">
      <w:bodyDiv w:val="1"/>
      <w:marLeft w:val="0"/>
      <w:marRight w:val="0"/>
      <w:marTop w:val="0"/>
      <w:marBottom w:val="0"/>
      <w:divBdr>
        <w:top w:val="none" w:sz="0" w:space="0" w:color="auto"/>
        <w:left w:val="none" w:sz="0" w:space="0" w:color="auto"/>
        <w:bottom w:val="none" w:sz="0" w:space="0" w:color="auto"/>
        <w:right w:val="none" w:sz="0" w:space="0" w:color="auto"/>
      </w:divBdr>
    </w:div>
    <w:div w:id="1881088001">
      <w:bodyDiv w:val="1"/>
      <w:marLeft w:val="0"/>
      <w:marRight w:val="0"/>
      <w:marTop w:val="0"/>
      <w:marBottom w:val="0"/>
      <w:divBdr>
        <w:top w:val="none" w:sz="0" w:space="0" w:color="auto"/>
        <w:left w:val="none" w:sz="0" w:space="0" w:color="auto"/>
        <w:bottom w:val="none" w:sz="0" w:space="0" w:color="auto"/>
        <w:right w:val="none" w:sz="0" w:space="0" w:color="auto"/>
      </w:divBdr>
    </w:div>
    <w:div w:id="1904100424">
      <w:bodyDiv w:val="1"/>
      <w:marLeft w:val="0"/>
      <w:marRight w:val="0"/>
      <w:marTop w:val="0"/>
      <w:marBottom w:val="0"/>
      <w:divBdr>
        <w:top w:val="none" w:sz="0" w:space="0" w:color="auto"/>
        <w:left w:val="none" w:sz="0" w:space="0" w:color="auto"/>
        <w:bottom w:val="none" w:sz="0" w:space="0" w:color="auto"/>
        <w:right w:val="none" w:sz="0" w:space="0" w:color="auto"/>
      </w:divBdr>
      <w:divsChild>
        <w:div w:id="954755295">
          <w:marLeft w:val="0"/>
          <w:marRight w:val="0"/>
          <w:marTop w:val="100"/>
          <w:marBottom w:val="0"/>
          <w:divBdr>
            <w:top w:val="none" w:sz="0" w:space="0" w:color="auto"/>
            <w:left w:val="none" w:sz="0" w:space="0" w:color="auto"/>
            <w:bottom w:val="none" w:sz="0" w:space="0" w:color="auto"/>
            <w:right w:val="none" w:sz="0" w:space="0" w:color="auto"/>
          </w:divBdr>
        </w:div>
        <w:div w:id="740179445">
          <w:marLeft w:val="0"/>
          <w:marRight w:val="0"/>
          <w:marTop w:val="0"/>
          <w:marBottom w:val="0"/>
          <w:divBdr>
            <w:top w:val="none" w:sz="0" w:space="0" w:color="auto"/>
            <w:left w:val="none" w:sz="0" w:space="0" w:color="auto"/>
            <w:bottom w:val="none" w:sz="0" w:space="0" w:color="auto"/>
            <w:right w:val="none" w:sz="0" w:space="0" w:color="auto"/>
          </w:divBdr>
          <w:divsChild>
            <w:div w:id="2105416497">
              <w:marLeft w:val="0"/>
              <w:marRight w:val="0"/>
              <w:marTop w:val="0"/>
              <w:marBottom w:val="0"/>
              <w:divBdr>
                <w:top w:val="none" w:sz="0" w:space="0" w:color="auto"/>
                <w:left w:val="none" w:sz="0" w:space="0" w:color="auto"/>
                <w:bottom w:val="none" w:sz="0" w:space="0" w:color="auto"/>
                <w:right w:val="none" w:sz="0" w:space="0" w:color="auto"/>
              </w:divBdr>
              <w:divsChild>
                <w:div w:id="273707072">
                  <w:marLeft w:val="0"/>
                  <w:marRight w:val="0"/>
                  <w:marTop w:val="0"/>
                  <w:marBottom w:val="0"/>
                  <w:divBdr>
                    <w:top w:val="none" w:sz="0" w:space="0" w:color="auto"/>
                    <w:left w:val="none" w:sz="0" w:space="0" w:color="auto"/>
                    <w:bottom w:val="none" w:sz="0" w:space="0" w:color="auto"/>
                    <w:right w:val="none" w:sz="0" w:space="0" w:color="auto"/>
                  </w:divBdr>
                  <w:divsChild>
                    <w:div w:id="130038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caditalia.it/pubblicazioni/collana-storica/documenti/documenti-07/index.html?com.dotmarketing.htmlpage.language=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2CA94-CE2B-4B1A-B4FD-889DFCF1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650</Words>
  <Characters>3708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Banca d'Italia</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Barbiellini Amidei</dc:creator>
  <cp:keywords/>
  <dc:description/>
  <cp:lastModifiedBy>Paolo Piselli</cp:lastModifiedBy>
  <cp:revision>9</cp:revision>
  <cp:lastPrinted>2022-12-19T11:22:00Z</cp:lastPrinted>
  <dcterms:created xsi:type="dcterms:W3CDTF">2023-01-10T14:21:00Z</dcterms:created>
  <dcterms:modified xsi:type="dcterms:W3CDTF">2023-01-17T16:30:00Z</dcterms:modified>
</cp:coreProperties>
</file>