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61A" w:rsidRPr="002646F7" w:rsidRDefault="002646F7" w:rsidP="00E3045E">
      <w:pPr>
        <w:jc w:val="center"/>
        <w:outlineLvl w:val="0"/>
        <w:rPr>
          <w:b/>
          <w:sz w:val="32"/>
          <w:szCs w:val="32"/>
          <w:lang w:val="en-US"/>
        </w:rPr>
      </w:pPr>
      <w:r w:rsidRPr="002646F7">
        <w:rPr>
          <w:b/>
          <w:sz w:val="32"/>
          <w:szCs w:val="32"/>
          <w:lang w:val="en-US"/>
        </w:rPr>
        <w:t>HISTORICAL ARCHIVE OF CREDIT IN ITALY</w:t>
      </w:r>
    </w:p>
    <w:p w:rsidR="006F1B57" w:rsidRPr="00CB7C12" w:rsidRDefault="008E261A" w:rsidP="00B835A9">
      <w:pPr>
        <w:jc w:val="center"/>
        <w:outlineLvl w:val="0"/>
        <w:rPr>
          <w:b/>
          <w:i/>
          <w:sz w:val="32"/>
          <w:szCs w:val="32"/>
          <w:lang w:val="en-US"/>
        </w:rPr>
      </w:pPr>
      <w:r w:rsidRPr="00CB7C12">
        <w:rPr>
          <w:b/>
          <w:sz w:val="32"/>
          <w:szCs w:val="32"/>
          <w:lang w:val="en-US"/>
        </w:rPr>
        <w:t xml:space="preserve"> </w:t>
      </w:r>
      <w:r w:rsidR="002646F7" w:rsidRPr="00CB7C12">
        <w:rPr>
          <w:b/>
          <w:i/>
          <w:sz w:val="32"/>
          <w:szCs w:val="32"/>
          <w:lang w:val="en-US"/>
        </w:rPr>
        <w:t>Technical Manual</w:t>
      </w:r>
    </w:p>
    <w:p w:rsidR="0028253D" w:rsidRPr="00CB7C12" w:rsidRDefault="0028253D" w:rsidP="0028253D">
      <w:pPr>
        <w:jc w:val="both"/>
        <w:rPr>
          <w:b/>
          <w:sz w:val="40"/>
          <w:szCs w:val="40"/>
          <w:lang w:val="en-US"/>
        </w:rPr>
      </w:pPr>
    </w:p>
    <w:p w:rsidR="002C1068" w:rsidRPr="00CB7C12" w:rsidRDefault="002C1068" w:rsidP="0028253D">
      <w:pPr>
        <w:jc w:val="both"/>
        <w:rPr>
          <w:b/>
          <w:sz w:val="40"/>
          <w:szCs w:val="40"/>
          <w:lang w:val="en-US"/>
        </w:rPr>
      </w:pPr>
    </w:p>
    <w:p w:rsidR="00EA4766" w:rsidRDefault="002646F7" w:rsidP="00C765CF">
      <w:pPr>
        <w:jc w:val="both"/>
        <w:rPr>
          <w:lang w:val="en-US"/>
        </w:rPr>
      </w:pPr>
      <w:r w:rsidRPr="002646F7">
        <w:rPr>
          <w:lang w:val="en-US"/>
        </w:rPr>
        <w:t xml:space="preserve">The database ASCI on Italian banks balance sheets includes data for a </w:t>
      </w:r>
      <w:r w:rsidRPr="002646F7">
        <w:rPr>
          <w:i/>
          <w:lang w:val="en-US"/>
        </w:rPr>
        <w:t>sample</w:t>
      </w:r>
      <w:r w:rsidRPr="002646F7">
        <w:rPr>
          <w:lang w:val="en-US"/>
        </w:rPr>
        <w:t xml:space="preserve"> of banks since 1890 to 1973.</w:t>
      </w:r>
      <w:r>
        <w:rPr>
          <w:lang w:val="en-US"/>
        </w:rPr>
        <w:t xml:space="preserve"> The archive is available in 2 formats, either </w:t>
      </w:r>
      <w:r w:rsidR="00EF64BD">
        <w:rPr>
          <w:lang w:val="en-US"/>
        </w:rPr>
        <w:t>“</w:t>
      </w:r>
      <w:r>
        <w:rPr>
          <w:lang w:val="en-US"/>
        </w:rPr>
        <w:t>dta</w:t>
      </w:r>
      <w:r w:rsidR="00EF64BD">
        <w:rPr>
          <w:lang w:val="en-US"/>
        </w:rPr>
        <w:t>”</w:t>
      </w:r>
      <w:r>
        <w:rPr>
          <w:lang w:val="en-US"/>
        </w:rPr>
        <w:t xml:space="preserve"> or </w:t>
      </w:r>
      <w:r w:rsidR="00EF64BD">
        <w:rPr>
          <w:lang w:val="en-US"/>
        </w:rPr>
        <w:t>“</w:t>
      </w:r>
      <w:r>
        <w:rPr>
          <w:lang w:val="en-US"/>
        </w:rPr>
        <w:t>csv</w:t>
      </w:r>
      <w:r w:rsidR="00EF64BD">
        <w:rPr>
          <w:lang w:val="en-US"/>
        </w:rPr>
        <w:t>”</w:t>
      </w:r>
      <w:r>
        <w:rPr>
          <w:lang w:val="en-US"/>
        </w:rPr>
        <w:t xml:space="preserve">, and in 2 versions: an extended one, called </w:t>
      </w:r>
      <w:proofErr w:type="spellStart"/>
      <w:r w:rsidRPr="008455A9">
        <w:rPr>
          <w:i/>
          <w:lang w:val="en-US"/>
        </w:rPr>
        <w:t>ASCI_complete</w:t>
      </w:r>
      <w:proofErr w:type="spellEnd"/>
      <w:r>
        <w:rPr>
          <w:lang w:val="en-US"/>
        </w:rPr>
        <w:t>, which includes all available balance sheet items; a</w:t>
      </w:r>
      <w:r w:rsidR="00C765CF">
        <w:rPr>
          <w:lang w:val="en-US"/>
        </w:rPr>
        <w:t>n</w:t>
      </w:r>
      <w:r>
        <w:rPr>
          <w:lang w:val="en-US"/>
        </w:rPr>
        <w:t xml:space="preserve"> </w:t>
      </w:r>
      <w:r w:rsidR="00AA69F6">
        <w:rPr>
          <w:lang w:val="en-US"/>
        </w:rPr>
        <w:t>abridged</w:t>
      </w:r>
      <w:r>
        <w:rPr>
          <w:lang w:val="en-US"/>
        </w:rPr>
        <w:t xml:space="preserve"> one, called </w:t>
      </w:r>
      <w:proofErr w:type="spellStart"/>
      <w:r w:rsidRPr="008455A9">
        <w:rPr>
          <w:i/>
          <w:lang w:val="en-US"/>
        </w:rPr>
        <w:t>ASCI_light</w:t>
      </w:r>
      <w:proofErr w:type="spellEnd"/>
      <w:r>
        <w:rPr>
          <w:lang w:val="en-US"/>
        </w:rPr>
        <w:t xml:space="preserve">, </w:t>
      </w:r>
      <w:r w:rsidR="00C765CF">
        <w:rPr>
          <w:lang w:val="en-US"/>
        </w:rPr>
        <w:t xml:space="preserve">which includes the main items. Both versions share the same structure. Every </w:t>
      </w:r>
      <w:r w:rsidR="002C1068">
        <w:rPr>
          <w:lang w:val="en-US"/>
        </w:rPr>
        <w:t>observation</w:t>
      </w:r>
      <w:r w:rsidR="00C765CF">
        <w:rPr>
          <w:lang w:val="en-US"/>
        </w:rPr>
        <w:t xml:space="preserve"> contains information on a bank in a gi</w:t>
      </w:r>
      <w:r w:rsidR="003A6051">
        <w:rPr>
          <w:lang w:val="en-US"/>
        </w:rPr>
        <w:t>ven year. Table 1 reports the variables in ASCI.</w:t>
      </w:r>
    </w:p>
    <w:p w:rsidR="00EA4766" w:rsidRDefault="00EA4766" w:rsidP="006C59B4">
      <w:pPr>
        <w:jc w:val="both"/>
        <w:rPr>
          <w:lang w:val="en-US"/>
        </w:rPr>
      </w:pPr>
    </w:p>
    <w:p w:rsidR="00255739" w:rsidRPr="002C1068" w:rsidRDefault="00255739" w:rsidP="006C59B4">
      <w:pPr>
        <w:jc w:val="both"/>
        <w:rPr>
          <w:lang w:val="en-US"/>
        </w:rPr>
      </w:pPr>
    </w:p>
    <w:p w:rsidR="00301F6E" w:rsidRDefault="00301F6E" w:rsidP="00301F6E">
      <w:pPr>
        <w:pStyle w:val="tavnumero"/>
        <w:tabs>
          <w:tab w:val="left" w:pos="720"/>
        </w:tabs>
        <w:spacing w:before="120"/>
        <w:ind w:right="497"/>
        <w:rPr>
          <w:rFonts w:cs="Arial"/>
        </w:rPr>
      </w:pPr>
      <w:proofErr w:type="spellStart"/>
      <w:r>
        <w:rPr>
          <w:rFonts w:cs="Arial"/>
        </w:rPr>
        <w:t>T</w:t>
      </w:r>
      <w:r w:rsidR="002C1068">
        <w:rPr>
          <w:rFonts w:cs="Arial"/>
        </w:rPr>
        <w:t>able</w:t>
      </w:r>
      <w:proofErr w:type="spellEnd"/>
      <w:r>
        <w:rPr>
          <w:rFonts w:cs="Arial"/>
        </w:rPr>
        <w:t xml:space="preserve"> 1</w:t>
      </w:r>
    </w:p>
    <w:p w:rsidR="00301F6E" w:rsidRPr="002C1068" w:rsidRDefault="002C1068" w:rsidP="00301F6E">
      <w:pPr>
        <w:jc w:val="center"/>
        <w:rPr>
          <w:b/>
          <w:sz w:val="28"/>
          <w:lang w:val="en-US"/>
        </w:rPr>
      </w:pPr>
      <w:r w:rsidRPr="002C1068">
        <w:rPr>
          <w:b/>
          <w:sz w:val="28"/>
          <w:lang w:val="en-US"/>
        </w:rPr>
        <w:t>Variables description</w:t>
      </w:r>
    </w:p>
    <w:p w:rsidR="00301F6E" w:rsidRPr="002C1068" w:rsidRDefault="00301F6E" w:rsidP="00301F6E">
      <w:pPr>
        <w:jc w:val="center"/>
        <w:rPr>
          <w:i/>
          <w:sz w:val="22"/>
          <w:szCs w:val="22"/>
          <w:lang w:val="en-US"/>
        </w:rPr>
      </w:pPr>
    </w:p>
    <w:p w:rsidR="00E8431B" w:rsidRDefault="00D315D8" w:rsidP="003F59E6">
      <w:pPr>
        <w:jc w:val="center"/>
      </w:pPr>
      <w:r>
        <w:rPr>
          <w:noProof/>
        </w:rPr>
        <w:drawing>
          <wp:inline distT="0" distB="0" distL="0" distR="0">
            <wp:extent cx="6114415" cy="4524375"/>
            <wp:effectExtent l="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31B" w:rsidRDefault="00E8431B" w:rsidP="00E8431B">
      <w:pPr>
        <w:ind w:left="1080"/>
        <w:jc w:val="center"/>
      </w:pPr>
    </w:p>
    <w:p w:rsidR="00255739" w:rsidRDefault="00255739" w:rsidP="00DA16BE">
      <w:pPr>
        <w:jc w:val="both"/>
        <w:rPr>
          <w:lang w:val="en-US"/>
        </w:rPr>
      </w:pPr>
    </w:p>
    <w:p w:rsidR="00DA16BE" w:rsidRPr="002C1068" w:rsidRDefault="00255739" w:rsidP="00DA16BE">
      <w:pPr>
        <w:jc w:val="both"/>
        <w:rPr>
          <w:lang w:val="en-US"/>
        </w:rPr>
      </w:pPr>
      <w:r>
        <w:rPr>
          <w:lang w:val="en-US"/>
        </w:rPr>
        <w:br w:type="page"/>
      </w:r>
      <w:r w:rsidR="002C1068" w:rsidRPr="002C1068">
        <w:rPr>
          <w:lang w:val="en-US"/>
        </w:rPr>
        <w:lastRenderedPageBreak/>
        <w:t>In addition to Table 1:</w:t>
      </w:r>
    </w:p>
    <w:p w:rsidR="00E3045E" w:rsidRPr="002C1068" w:rsidRDefault="00E3045E" w:rsidP="00DA16BE">
      <w:pPr>
        <w:jc w:val="both"/>
        <w:rPr>
          <w:b/>
          <w:lang w:val="en-US"/>
        </w:rPr>
      </w:pPr>
    </w:p>
    <w:p w:rsidR="00DA16BE" w:rsidRPr="002C1068" w:rsidRDefault="00DA16BE" w:rsidP="006C59B4">
      <w:pPr>
        <w:pBdr>
          <w:bar w:val="single" w:sz="4" w:color="auto"/>
        </w:pBdr>
        <w:jc w:val="both"/>
        <w:rPr>
          <w:lang w:val="en-US"/>
        </w:rPr>
      </w:pPr>
      <w:proofErr w:type="spellStart"/>
      <w:r w:rsidRPr="002C1068">
        <w:rPr>
          <w:b/>
          <w:i/>
          <w:lang w:val="en-US"/>
        </w:rPr>
        <w:t>Id_Banca</w:t>
      </w:r>
      <w:proofErr w:type="spellEnd"/>
      <w:r w:rsidRPr="002C1068">
        <w:rPr>
          <w:b/>
          <w:i/>
          <w:lang w:val="en-US"/>
        </w:rPr>
        <w:t>.</w:t>
      </w:r>
      <w:r w:rsidR="002C1068" w:rsidRPr="002C1068">
        <w:rPr>
          <w:lang w:val="en-US"/>
        </w:rPr>
        <w:t xml:space="preserve"> T</w:t>
      </w:r>
      <w:r w:rsidR="002C1068">
        <w:rPr>
          <w:lang w:val="en-US"/>
        </w:rPr>
        <w:t>he</w:t>
      </w:r>
      <w:r w:rsidR="002C1068" w:rsidRPr="002C1068">
        <w:rPr>
          <w:lang w:val="en-US"/>
        </w:rPr>
        <w:t xml:space="preserve"> </w:t>
      </w:r>
      <w:r w:rsidR="002C1068">
        <w:rPr>
          <w:lang w:val="en-US"/>
        </w:rPr>
        <w:t>identification code</w:t>
      </w:r>
      <w:r w:rsidR="002C1068" w:rsidRPr="002C1068">
        <w:rPr>
          <w:lang w:val="en-US"/>
        </w:rPr>
        <w:t xml:space="preserve"> does not change when </w:t>
      </w:r>
      <w:r w:rsidR="008455A9">
        <w:rPr>
          <w:lang w:val="en-US"/>
        </w:rPr>
        <w:t>the</w:t>
      </w:r>
      <w:r w:rsidR="002C1068" w:rsidRPr="002C1068">
        <w:rPr>
          <w:lang w:val="en-US"/>
        </w:rPr>
        <w:t xml:space="preserve"> bank changes </w:t>
      </w:r>
      <w:r w:rsidR="008455A9">
        <w:rPr>
          <w:lang w:val="en-US"/>
        </w:rPr>
        <w:t xml:space="preserve">either </w:t>
      </w:r>
      <w:r w:rsidR="002C1068" w:rsidRPr="002C1068">
        <w:rPr>
          <w:lang w:val="en-US"/>
        </w:rPr>
        <w:t>name or category.</w:t>
      </w:r>
      <w:r w:rsidRPr="002C1068">
        <w:rPr>
          <w:lang w:val="en-US"/>
        </w:rPr>
        <w:t xml:space="preserve"> </w:t>
      </w:r>
    </w:p>
    <w:p w:rsidR="00DA16BE" w:rsidRPr="002C1068" w:rsidRDefault="00DA16BE" w:rsidP="006C59B4">
      <w:pPr>
        <w:jc w:val="both"/>
        <w:rPr>
          <w:i/>
          <w:u w:val="single"/>
          <w:lang w:val="en-US"/>
        </w:rPr>
      </w:pPr>
    </w:p>
    <w:p w:rsidR="00BF785D" w:rsidRPr="002C1068" w:rsidRDefault="00E72E9D" w:rsidP="006C59B4">
      <w:pPr>
        <w:jc w:val="both"/>
        <w:rPr>
          <w:lang w:val="en-US"/>
        </w:rPr>
      </w:pPr>
      <w:proofErr w:type="spellStart"/>
      <w:r w:rsidRPr="002C1068">
        <w:rPr>
          <w:b/>
          <w:i/>
          <w:lang w:val="en-US"/>
        </w:rPr>
        <w:t>Codice_Banca</w:t>
      </w:r>
      <w:proofErr w:type="spellEnd"/>
      <w:r w:rsidR="008A2FF8" w:rsidRPr="002C1068">
        <w:rPr>
          <w:b/>
          <w:i/>
          <w:lang w:val="en-US"/>
        </w:rPr>
        <w:t>.</w:t>
      </w:r>
      <w:r w:rsidR="008128EC" w:rsidRPr="00495C2F">
        <w:rPr>
          <w:lang w:val="en-US"/>
        </w:rPr>
        <w:t xml:space="preserve"> </w:t>
      </w:r>
      <w:r w:rsidR="002C1068" w:rsidRPr="002C1068">
        <w:rPr>
          <w:lang w:val="en-US"/>
        </w:rPr>
        <w:t>This official code is assigned</w:t>
      </w:r>
      <w:r w:rsidR="002C1068">
        <w:rPr>
          <w:lang w:val="en-US"/>
        </w:rPr>
        <w:t xml:space="preserve"> to every bank since 1936 by </w:t>
      </w:r>
      <w:r w:rsidR="002C1068" w:rsidRPr="002C1068">
        <w:rPr>
          <w:lang w:val="en-US"/>
        </w:rPr>
        <w:t xml:space="preserve">ABI (Italian Banking Association). </w:t>
      </w:r>
      <w:r w:rsidR="00495C2F">
        <w:rPr>
          <w:lang w:val="en-US"/>
        </w:rPr>
        <w:t>We</w:t>
      </w:r>
      <w:r w:rsidR="002C1068">
        <w:rPr>
          <w:lang w:val="en-US"/>
        </w:rPr>
        <w:t xml:space="preserve"> have assigned a</w:t>
      </w:r>
      <w:r w:rsidR="00495C2F">
        <w:rPr>
          <w:lang w:val="en-US"/>
        </w:rPr>
        <w:t xml:space="preserve"> 5-digit</w:t>
      </w:r>
      <w:r w:rsidR="002C1068">
        <w:rPr>
          <w:lang w:val="en-US"/>
        </w:rPr>
        <w:t xml:space="preserve"> code</w:t>
      </w:r>
      <w:r w:rsidR="00495C2F">
        <w:rPr>
          <w:lang w:val="en-US"/>
        </w:rPr>
        <w:t xml:space="preserve"> for banks which have not survived after 1936</w:t>
      </w:r>
      <w:r w:rsidR="002C1068">
        <w:rPr>
          <w:lang w:val="en-US"/>
        </w:rPr>
        <w:t>.</w:t>
      </w:r>
      <w:r w:rsidR="002C1068" w:rsidRPr="002C1068">
        <w:rPr>
          <w:lang w:val="en-US"/>
        </w:rPr>
        <w:t xml:space="preserve"> T</w:t>
      </w:r>
      <w:r w:rsidR="002C1068">
        <w:rPr>
          <w:lang w:val="en-US"/>
        </w:rPr>
        <w:t>he</w:t>
      </w:r>
      <w:r w:rsidR="002C1068" w:rsidRPr="002C1068">
        <w:rPr>
          <w:lang w:val="en-US"/>
        </w:rPr>
        <w:t xml:space="preserve"> </w:t>
      </w:r>
      <w:r w:rsidR="002C1068">
        <w:rPr>
          <w:lang w:val="en-US"/>
        </w:rPr>
        <w:t>identification code</w:t>
      </w:r>
      <w:r w:rsidR="002C1068" w:rsidRPr="002C1068">
        <w:rPr>
          <w:lang w:val="en-US"/>
        </w:rPr>
        <w:t xml:space="preserve"> does not change when a bank changes </w:t>
      </w:r>
      <w:r w:rsidR="00EF64BD">
        <w:rPr>
          <w:lang w:val="en-US"/>
        </w:rPr>
        <w:t xml:space="preserve">either </w:t>
      </w:r>
      <w:r w:rsidR="002C1068" w:rsidRPr="002C1068">
        <w:rPr>
          <w:lang w:val="en-US"/>
        </w:rPr>
        <w:t>name or category.</w:t>
      </w:r>
    </w:p>
    <w:p w:rsidR="00911FA8" w:rsidRPr="002C1068" w:rsidRDefault="00911FA8" w:rsidP="006C59B4">
      <w:pPr>
        <w:jc w:val="both"/>
        <w:rPr>
          <w:i/>
          <w:u w:val="single"/>
          <w:lang w:val="en-US"/>
        </w:rPr>
      </w:pPr>
    </w:p>
    <w:p w:rsidR="00812C7D" w:rsidRPr="00495C2F" w:rsidRDefault="008A2FF8" w:rsidP="00495C2F">
      <w:pPr>
        <w:jc w:val="both"/>
        <w:rPr>
          <w:lang w:val="en-US"/>
        </w:rPr>
      </w:pPr>
      <w:proofErr w:type="spellStart"/>
      <w:r w:rsidRPr="00495C2F">
        <w:rPr>
          <w:b/>
          <w:i/>
          <w:lang w:val="en-US"/>
        </w:rPr>
        <w:t>Categoria</w:t>
      </w:r>
      <w:proofErr w:type="spellEnd"/>
      <w:r w:rsidRPr="00495C2F">
        <w:rPr>
          <w:b/>
          <w:i/>
          <w:lang w:val="en-US"/>
        </w:rPr>
        <w:t>.</w:t>
      </w:r>
      <w:r w:rsidR="006339EA" w:rsidRPr="00495C2F">
        <w:rPr>
          <w:lang w:val="en-US"/>
        </w:rPr>
        <w:t xml:space="preserve"> </w:t>
      </w:r>
      <w:r w:rsidR="00495C2F" w:rsidRPr="00495C2F">
        <w:rPr>
          <w:lang w:val="en-US"/>
        </w:rPr>
        <w:t xml:space="preserve">Categories available within the dataset are: </w:t>
      </w:r>
      <w:r w:rsidR="00CB7C12">
        <w:rPr>
          <w:lang w:val="en-US"/>
        </w:rPr>
        <w:t>j</w:t>
      </w:r>
      <w:r w:rsidR="00495C2F" w:rsidRPr="00495C2F">
        <w:rPr>
          <w:lang w:val="en-US"/>
        </w:rPr>
        <w:t>oint-stock or ordinary credit banks (SOC)</w:t>
      </w:r>
      <w:r w:rsidR="00495C2F">
        <w:rPr>
          <w:lang w:val="en-US"/>
        </w:rPr>
        <w:t xml:space="preserve">, </w:t>
      </w:r>
      <w:r w:rsidR="00CB7C12">
        <w:rPr>
          <w:lang w:val="en-US"/>
        </w:rPr>
        <w:t>c</w:t>
      </w:r>
      <w:r w:rsidR="00495C2F" w:rsidRPr="00495C2F">
        <w:rPr>
          <w:lang w:val="en-US"/>
        </w:rPr>
        <w:t xml:space="preserve">ooperative </w:t>
      </w:r>
      <w:r w:rsidR="00CB7C12">
        <w:rPr>
          <w:lang w:val="en-US"/>
        </w:rPr>
        <w:t>b</w:t>
      </w:r>
      <w:r w:rsidR="00495C2F" w:rsidRPr="00495C2F">
        <w:rPr>
          <w:lang w:val="en-US"/>
        </w:rPr>
        <w:t>anks (BP)</w:t>
      </w:r>
      <w:r w:rsidR="00495C2F">
        <w:rPr>
          <w:lang w:val="en-US"/>
        </w:rPr>
        <w:t>,</w:t>
      </w:r>
      <w:r w:rsidR="00495C2F" w:rsidRPr="00495C2F">
        <w:rPr>
          <w:lang w:val="en-US"/>
        </w:rPr>
        <w:t xml:space="preserve"> </w:t>
      </w:r>
      <w:r w:rsidR="00CB7C12">
        <w:rPr>
          <w:lang w:val="en-US"/>
        </w:rPr>
        <w:t>s</w:t>
      </w:r>
      <w:r w:rsidR="00495C2F" w:rsidRPr="00495C2F">
        <w:rPr>
          <w:lang w:val="en-US"/>
        </w:rPr>
        <w:t xml:space="preserve">avings </w:t>
      </w:r>
      <w:r w:rsidR="00CB7C12">
        <w:rPr>
          <w:lang w:val="en-US"/>
        </w:rPr>
        <w:t>b</w:t>
      </w:r>
      <w:r w:rsidR="00495C2F" w:rsidRPr="00495C2F">
        <w:rPr>
          <w:lang w:val="en-US"/>
        </w:rPr>
        <w:t>anks (CRO)</w:t>
      </w:r>
      <w:r w:rsidR="00495C2F">
        <w:rPr>
          <w:lang w:val="en-US"/>
        </w:rPr>
        <w:t xml:space="preserve">, </w:t>
      </w:r>
      <w:r w:rsidR="00CB7C12">
        <w:rPr>
          <w:lang w:val="en-US"/>
        </w:rPr>
        <w:t>b</w:t>
      </w:r>
      <w:r w:rsidR="00495C2F" w:rsidRPr="00495C2F">
        <w:rPr>
          <w:lang w:val="en-US"/>
        </w:rPr>
        <w:t>ank</w:t>
      </w:r>
      <w:r w:rsidR="00CB7C12">
        <w:rPr>
          <w:lang w:val="en-US"/>
        </w:rPr>
        <w:t xml:space="preserve">ing houses </w:t>
      </w:r>
      <w:r w:rsidR="00495C2F" w:rsidRPr="00495C2F">
        <w:rPr>
          <w:lang w:val="en-US"/>
        </w:rPr>
        <w:t>(DB)</w:t>
      </w:r>
      <w:r w:rsidR="00495C2F">
        <w:rPr>
          <w:lang w:val="en-US"/>
        </w:rPr>
        <w:t>,</w:t>
      </w:r>
      <w:r w:rsidR="00495C2F" w:rsidRPr="00495C2F">
        <w:rPr>
          <w:lang w:val="en-US"/>
        </w:rPr>
        <w:t xml:space="preserve"> Bank of National Interest (BIN)</w:t>
      </w:r>
      <w:r w:rsidR="00495C2F">
        <w:rPr>
          <w:lang w:val="en-US"/>
        </w:rPr>
        <w:t>,</w:t>
      </w:r>
      <w:r w:rsidR="00495C2F" w:rsidRPr="00495C2F">
        <w:rPr>
          <w:lang w:val="en-US"/>
        </w:rPr>
        <w:t xml:space="preserve"> Public Law Banks (IDP)</w:t>
      </w:r>
      <w:r w:rsidR="00495C2F">
        <w:rPr>
          <w:lang w:val="en-US"/>
        </w:rPr>
        <w:t xml:space="preserve">, </w:t>
      </w:r>
      <w:r w:rsidR="00495C2F" w:rsidRPr="00495C2F">
        <w:rPr>
          <w:lang w:val="en-US"/>
        </w:rPr>
        <w:t>(</w:t>
      </w:r>
      <w:r w:rsidR="00CB7C12">
        <w:rPr>
          <w:lang w:val="en-US"/>
        </w:rPr>
        <w:t>f</w:t>
      </w:r>
      <w:r w:rsidR="00495C2F" w:rsidRPr="00495C2F">
        <w:rPr>
          <w:lang w:val="en-US"/>
        </w:rPr>
        <w:t xml:space="preserve">irst class) </w:t>
      </w:r>
      <w:r w:rsidR="00CB7C12">
        <w:rPr>
          <w:lang w:val="en-US"/>
        </w:rPr>
        <w:t>p</w:t>
      </w:r>
      <w:r w:rsidR="00495C2F" w:rsidRPr="00495C2F">
        <w:rPr>
          <w:lang w:val="en-US"/>
        </w:rPr>
        <w:t xml:space="preserve">ledge </w:t>
      </w:r>
      <w:r w:rsidR="00CB7C12">
        <w:rPr>
          <w:lang w:val="en-US"/>
        </w:rPr>
        <w:t>b</w:t>
      </w:r>
      <w:r w:rsidR="00495C2F" w:rsidRPr="00495C2F">
        <w:rPr>
          <w:lang w:val="en-US"/>
        </w:rPr>
        <w:t xml:space="preserve">anks (MDP), </w:t>
      </w:r>
      <w:r w:rsidR="00CB7C12">
        <w:rPr>
          <w:lang w:val="en-US"/>
        </w:rPr>
        <w:t>c</w:t>
      </w:r>
      <w:r w:rsidR="00495C2F" w:rsidRPr="00495C2F">
        <w:rPr>
          <w:lang w:val="en-US"/>
        </w:rPr>
        <w:t xml:space="preserve">entral </w:t>
      </w:r>
      <w:r w:rsidR="00CB7C12">
        <w:rPr>
          <w:lang w:val="en-US"/>
        </w:rPr>
        <w:t>i</w:t>
      </w:r>
      <w:r w:rsidR="00495C2F" w:rsidRPr="00495C2F">
        <w:rPr>
          <w:lang w:val="en-US"/>
        </w:rPr>
        <w:t>nstitutes (ICC)</w:t>
      </w:r>
      <w:r w:rsidR="00255739">
        <w:rPr>
          <w:lang w:val="en-US"/>
        </w:rPr>
        <w:t>, other banks (AB), other financial institutions (OUT)</w:t>
      </w:r>
      <w:r w:rsidR="00495C2F" w:rsidRPr="00495C2F">
        <w:rPr>
          <w:lang w:val="en-US"/>
        </w:rPr>
        <w:t>.</w:t>
      </w:r>
    </w:p>
    <w:p w:rsidR="000E77E3" w:rsidRPr="00495C2F" w:rsidRDefault="000E77E3" w:rsidP="006C59B4">
      <w:pPr>
        <w:jc w:val="both"/>
        <w:rPr>
          <w:lang w:val="en-US"/>
        </w:rPr>
      </w:pPr>
    </w:p>
    <w:p w:rsidR="006339EA" w:rsidRPr="00495C2F" w:rsidRDefault="000E77E3" w:rsidP="006C59B4">
      <w:pPr>
        <w:jc w:val="both"/>
        <w:rPr>
          <w:lang w:val="en-US"/>
        </w:rPr>
      </w:pPr>
      <w:proofErr w:type="spellStart"/>
      <w:r w:rsidRPr="00495C2F">
        <w:rPr>
          <w:b/>
          <w:i/>
          <w:lang w:val="en-US"/>
        </w:rPr>
        <w:t>Provincia.</w:t>
      </w:r>
      <w:r w:rsidR="00495C2F" w:rsidRPr="00495C2F">
        <w:rPr>
          <w:lang w:val="en-US"/>
        </w:rPr>
        <w:t>The</w:t>
      </w:r>
      <w:proofErr w:type="spellEnd"/>
      <w:r w:rsidR="00495C2F" w:rsidRPr="00495C2F">
        <w:rPr>
          <w:lang w:val="en-US"/>
        </w:rPr>
        <w:t xml:space="preserve"> </w:t>
      </w:r>
      <w:r w:rsidR="008455A9">
        <w:rPr>
          <w:lang w:val="en-US"/>
        </w:rPr>
        <w:t>variable</w:t>
      </w:r>
      <w:r w:rsidR="00495C2F" w:rsidRPr="00495C2F">
        <w:rPr>
          <w:lang w:val="en-US"/>
        </w:rPr>
        <w:t xml:space="preserve"> is missing whenever the </w:t>
      </w:r>
      <w:r w:rsidR="00495C2F">
        <w:rPr>
          <w:lang w:val="en-US"/>
        </w:rPr>
        <w:t xml:space="preserve">legal headquarters </w:t>
      </w:r>
      <w:r w:rsidR="008455A9">
        <w:rPr>
          <w:lang w:val="en-US"/>
        </w:rPr>
        <w:t>a</w:t>
      </w:r>
      <w:r w:rsidR="00495C2F">
        <w:rPr>
          <w:lang w:val="en-US"/>
        </w:rPr>
        <w:t>re outside the present Italian boundaries.</w:t>
      </w:r>
      <w:r w:rsidR="006339EA" w:rsidRPr="00495C2F">
        <w:rPr>
          <w:lang w:val="en-US"/>
        </w:rPr>
        <w:t xml:space="preserve"> </w:t>
      </w:r>
    </w:p>
    <w:p w:rsidR="009D35AC" w:rsidRPr="00495C2F" w:rsidRDefault="009D35AC" w:rsidP="006C59B4">
      <w:pPr>
        <w:jc w:val="both"/>
        <w:rPr>
          <w:lang w:val="en-US"/>
        </w:rPr>
      </w:pPr>
    </w:p>
    <w:p w:rsidR="003927EC" w:rsidRDefault="000E77E3" w:rsidP="006C59B4">
      <w:pPr>
        <w:jc w:val="both"/>
        <w:rPr>
          <w:lang w:val="en-US"/>
        </w:rPr>
      </w:pPr>
      <w:proofErr w:type="spellStart"/>
      <w:r w:rsidRPr="00CB7C12">
        <w:rPr>
          <w:b/>
          <w:i/>
          <w:lang w:val="en-US"/>
        </w:rPr>
        <w:t>Regione</w:t>
      </w:r>
      <w:proofErr w:type="spellEnd"/>
      <w:r w:rsidRPr="00CB7C12">
        <w:rPr>
          <w:b/>
          <w:lang w:val="en-US"/>
        </w:rPr>
        <w:t>.</w:t>
      </w:r>
      <w:r w:rsidR="00B02F18" w:rsidRPr="00CB7C12">
        <w:rPr>
          <w:lang w:val="en-US"/>
        </w:rPr>
        <w:t xml:space="preserve"> </w:t>
      </w:r>
      <w:bookmarkStart w:id="0" w:name="_GoBack"/>
      <w:r w:rsidR="00495C2F" w:rsidRPr="00495C2F">
        <w:rPr>
          <w:lang w:val="en-US"/>
        </w:rPr>
        <w:t xml:space="preserve">The </w:t>
      </w:r>
      <w:r w:rsidR="008455A9">
        <w:rPr>
          <w:lang w:val="en-US"/>
        </w:rPr>
        <w:t>variable</w:t>
      </w:r>
      <w:r w:rsidR="00495C2F" w:rsidRPr="00495C2F">
        <w:rPr>
          <w:lang w:val="en-US"/>
        </w:rPr>
        <w:t xml:space="preserve"> is missing whenever the </w:t>
      </w:r>
      <w:r w:rsidR="00495C2F">
        <w:rPr>
          <w:lang w:val="en-US"/>
        </w:rPr>
        <w:t xml:space="preserve">legal headquarters </w:t>
      </w:r>
      <w:r w:rsidR="008455A9">
        <w:rPr>
          <w:lang w:val="en-US"/>
        </w:rPr>
        <w:t xml:space="preserve">are outside the </w:t>
      </w:r>
      <w:r w:rsidR="00495C2F">
        <w:rPr>
          <w:lang w:val="en-US"/>
        </w:rPr>
        <w:t>present Italian boundaries.</w:t>
      </w:r>
    </w:p>
    <w:p w:rsidR="00495C2F" w:rsidRPr="00495C2F" w:rsidRDefault="00495C2F" w:rsidP="006C59B4">
      <w:pPr>
        <w:jc w:val="both"/>
        <w:rPr>
          <w:i/>
          <w:u w:val="single"/>
          <w:lang w:val="en-US"/>
        </w:rPr>
      </w:pPr>
    </w:p>
    <w:p w:rsidR="003927EC" w:rsidRPr="00BC79E6" w:rsidRDefault="003927EC" w:rsidP="006C59B4">
      <w:pPr>
        <w:jc w:val="both"/>
        <w:rPr>
          <w:lang w:val="en-US"/>
        </w:rPr>
      </w:pPr>
      <w:proofErr w:type="spellStart"/>
      <w:r w:rsidRPr="00BC79E6">
        <w:rPr>
          <w:b/>
          <w:i/>
          <w:lang w:val="en-US"/>
        </w:rPr>
        <w:t>Nazione</w:t>
      </w:r>
      <w:proofErr w:type="spellEnd"/>
      <w:r w:rsidRPr="00BC79E6">
        <w:rPr>
          <w:b/>
          <w:lang w:val="en-US"/>
        </w:rPr>
        <w:t>.</w:t>
      </w:r>
      <w:r w:rsidRPr="00BC79E6">
        <w:rPr>
          <w:lang w:val="en-US"/>
        </w:rPr>
        <w:t xml:space="preserve"> </w:t>
      </w:r>
      <w:r w:rsidR="00BC79E6">
        <w:rPr>
          <w:lang w:val="en-US"/>
        </w:rPr>
        <w:t>The database includes only Italian banks, but some of them were established in areas which do n</w:t>
      </w:r>
      <w:bookmarkEnd w:id="0"/>
      <w:r w:rsidR="00BC79E6">
        <w:rPr>
          <w:lang w:val="en-US"/>
        </w:rPr>
        <w:t>ot belong to the current Italian territory (i.e., ex-colonies).</w:t>
      </w:r>
    </w:p>
    <w:p w:rsidR="00B779D0" w:rsidRPr="00BC79E6" w:rsidRDefault="00B779D0" w:rsidP="006C59B4">
      <w:pPr>
        <w:jc w:val="both"/>
        <w:rPr>
          <w:b/>
          <w:i/>
          <w:lang w:val="en-US"/>
        </w:rPr>
      </w:pPr>
    </w:p>
    <w:p w:rsidR="00B779D0" w:rsidRPr="00BC79E6" w:rsidRDefault="00B779D0" w:rsidP="006C59B4">
      <w:pPr>
        <w:jc w:val="both"/>
        <w:rPr>
          <w:lang w:val="en-US"/>
        </w:rPr>
      </w:pPr>
      <w:proofErr w:type="spellStart"/>
      <w:r w:rsidRPr="00BC79E6">
        <w:rPr>
          <w:b/>
          <w:i/>
          <w:lang w:val="en-US"/>
        </w:rPr>
        <w:t>Schema_Di_Bilancio</w:t>
      </w:r>
      <w:proofErr w:type="spellEnd"/>
      <w:r w:rsidRPr="00BC79E6">
        <w:rPr>
          <w:b/>
          <w:lang w:val="en-US"/>
        </w:rPr>
        <w:t>.</w:t>
      </w:r>
      <w:r w:rsidRPr="00BC79E6">
        <w:rPr>
          <w:lang w:val="en-US"/>
        </w:rPr>
        <w:t xml:space="preserve"> </w:t>
      </w:r>
      <w:r w:rsidR="00BC79E6" w:rsidRPr="00BC79E6">
        <w:rPr>
          <w:lang w:val="en-US"/>
        </w:rPr>
        <w:t>There are 24 different balance sheet schemes, which vary across time and bank categories</w:t>
      </w:r>
      <w:r w:rsidRPr="00BC79E6">
        <w:rPr>
          <w:lang w:val="en-US"/>
        </w:rPr>
        <w:t xml:space="preserve"> (</w:t>
      </w:r>
      <w:r w:rsidR="00EE13E9" w:rsidRPr="00BC79E6">
        <w:rPr>
          <w:lang w:val="en-US"/>
        </w:rPr>
        <w:t>T</w:t>
      </w:r>
      <w:r w:rsidRPr="00BC79E6">
        <w:rPr>
          <w:lang w:val="en-US"/>
        </w:rPr>
        <w:t>a</w:t>
      </w:r>
      <w:r w:rsidR="00BC79E6" w:rsidRPr="00BC79E6">
        <w:rPr>
          <w:lang w:val="en-US"/>
        </w:rPr>
        <w:t>b</w:t>
      </w:r>
      <w:r w:rsidRPr="00BC79E6">
        <w:rPr>
          <w:lang w:val="en-US"/>
        </w:rPr>
        <w:t>.</w:t>
      </w:r>
      <w:r w:rsidR="00EE13E9" w:rsidRPr="00BC79E6">
        <w:rPr>
          <w:lang w:val="en-US"/>
        </w:rPr>
        <w:t xml:space="preserve"> </w:t>
      </w:r>
      <w:r w:rsidRPr="00BC79E6">
        <w:rPr>
          <w:lang w:val="en-US"/>
        </w:rPr>
        <w:t>2)</w:t>
      </w:r>
    </w:p>
    <w:p w:rsidR="00B779D0" w:rsidRPr="00BC79E6" w:rsidRDefault="00B779D0" w:rsidP="006C59B4">
      <w:pPr>
        <w:jc w:val="both"/>
        <w:rPr>
          <w:i/>
          <w:u w:val="single"/>
          <w:lang w:val="en-US"/>
        </w:rPr>
      </w:pPr>
    </w:p>
    <w:p w:rsidR="007E753B" w:rsidRPr="00CB7C12" w:rsidRDefault="00896AB3" w:rsidP="00B0342F">
      <w:pPr>
        <w:jc w:val="both"/>
        <w:rPr>
          <w:lang w:val="en-US"/>
        </w:rPr>
      </w:pPr>
      <w:proofErr w:type="spellStart"/>
      <w:r w:rsidRPr="00CB7C12">
        <w:rPr>
          <w:b/>
          <w:i/>
          <w:lang w:val="en-US"/>
        </w:rPr>
        <w:t>Bilanci</w:t>
      </w:r>
      <w:r w:rsidR="007E753B" w:rsidRPr="00CB7C12">
        <w:rPr>
          <w:b/>
          <w:i/>
          <w:lang w:val="en-US"/>
        </w:rPr>
        <w:t>_Riclass</w:t>
      </w:r>
      <w:r w:rsidRPr="00CB7C12">
        <w:rPr>
          <w:b/>
          <w:i/>
          <w:lang w:val="en-US"/>
        </w:rPr>
        <w:t>ificati_SOC</w:t>
      </w:r>
      <w:proofErr w:type="spellEnd"/>
      <w:r w:rsidRPr="00CB7C12">
        <w:rPr>
          <w:b/>
          <w:lang w:val="en-US"/>
        </w:rPr>
        <w:t>.</w:t>
      </w:r>
      <w:r w:rsidR="007E753B" w:rsidRPr="00CB7C12">
        <w:rPr>
          <w:lang w:val="en-US"/>
        </w:rPr>
        <w:t xml:space="preserve"> </w:t>
      </w:r>
      <w:r w:rsidR="00BC79E6" w:rsidRPr="00BC79E6">
        <w:rPr>
          <w:lang w:val="en-US"/>
        </w:rPr>
        <w:t xml:space="preserve">When the original balance sheets </w:t>
      </w:r>
      <w:r w:rsidR="00BC79E6">
        <w:rPr>
          <w:lang w:val="en-US"/>
        </w:rPr>
        <w:t>did</w:t>
      </w:r>
      <w:r w:rsidR="00BC79E6" w:rsidRPr="00BC79E6">
        <w:rPr>
          <w:lang w:val="en-US"/>
        </w:rPr>
        <w:t xml:space="preserve"> not follow any of the 24 schemes, their items have been reclassified in order to fit </w:t>
      </w:r>
      <w:r w:rsidR="008455A9">
        <w:rPr>
          <w:lang w:val="en-US"/>
        </w:rPr>
        <w:t>an official</w:t>
      </w:r>
      <w:r w:rsidR="00BC79E6" w:rsidRPr="00BC79E6">
        <w:rPr>
          <w:lang w:val="en-US"/>
        </w:rPr>
        <w:t xml:space="preserve"> scheme (according to the time period and the bank category). </w:t>
      </w:r>
      <w:r w:rsidR="00BC79E6">
        <w:rPr>
          <w:lang w:val="en-US"/>
        </w:rPr>
        <w:t xml:space="preserve">This variable is equal to 1 when reclassification has occurred. This information is available only for </w:t>
      </w:r>
      <w:r w:rsidR="00B0342F">
        <w:rPr>
          <w:lang w:val="en-US"/>
        </w:rPr>
        <w:t>categories SOC and OUT, during the 1890-1936 period.</w:t>
      </w:r>
    </w:p>
    <w:p w:rsidR="000F0D86" w:rsidRPr="00CB7C12" w:rsidRDefault="000F0D86" w:rsidP="006C59B4">
      <w:pPr>
        <w:jc w:val="both"/>
        <w:rPr>
          <w:lang w:val="en-US"/>
        </w:rPr>
      </w:pPr>
    </w:p>
    <w:p w:rsidR="00896AB3" w:rsidRPr="00B0342F" w:rsidRDefault="00896AB3" w:rsidP="006C59B4">
      <w:pPr>
        <w:jc w:val="both"/>
        <w:rPr>
          <w:lang w:val="en-US"/>
        </w:rPr>
      </w:pPr>
      <w:proofErr w:type="spellStart"/>
      <w:r w:rsidRPr="00B0342F">
        <w:rPr>
          <w:b/>
          <w:i/>
          <w:lang w:val="en-US"/>
        </w:rPr>
        <w:t>Bil_Sostituito_BP</w:t>
      </w:r>
      <w:proofErr w:type="spellEnd"/>
      <w:r w:rsidR="000F0D86" w:rsidRPr="00B0342F">
        <w:rPr>
          <w:b/>
          <w:i/>
          <w:lang w:val="en-US"/>
        </w:rPr>
        <w:t>.</w:t>
      </w:r>
      <w:r w:rsidR="000F0D86" w:rsidRPr="00B0342F">
        <w:rPr>
          <w:lang w:val="en-US"/>
        </w:rPr>
        <w:t xml:space="preserve"> </w:t>
      </w:r>
      <w:r w:rsidR="00B0342F">
        <w:rPr>
          <w:lang w:val="en-US"/>
        </w:rPr>
        <w:t xml:space="preserve">This variable is equal to </w:t>
      </w:r>
      <w:r w:rsidR="00B0342F" w:rsidRPr="00B0342F">
        <w:rPr>
          <w:lang w:val="en-US"/>
        </w:rPr>
        <w:t xml:space="preserve">1 </w:t>
      </w:r>
      <w:r w:rsidR="00B0342F">
        <w:rPr>
          <w:lang w:val="en-US"/>
        </w:rPr>
        <w:t>when</w:t>
      </w:r>
      <w:r w:rsidR="00B0342F" w:rsidRPr="00B0342F">
        <w:rPr>
          <w:lang w:val="en-US"/>
        </w:rPr>
        <w:t xml:space="preserve"> the balance sheet is not referred to December 31st. </w:t>
      </w:r>
      <w:r w:rsidR="00B0342F">
        <w:rPr>
          <w:lang w:val="en-US"/>
        </w:rPr>
        <w:t xml:space="preserve"> </w:t>
      </w:r>
      <w:r w:rsidR="00B0342F" w:rsidRPr="00B0342F">
        <w:rPr>
          <w:lang w:val="en-US"/>
        </w:rPr>
        <w:t>I</w:t>
      </w:r>
      <w:r w:rsidR="00B0342F">
        <w:rPr>
          <w:lang w:val="en-US"/>
        </w:rPr>
        <w:t>t concerns only cooperative banks (BP).</w:t>
      </w:r>
    </w:p>
    <w:p w:rsidR="00896AB3" w:rsidRPr="00B0342F" w:rsidRDefault="00896AB3" w:rsidP="006C59B4">
      <w:pPr>
        <w:jc w:val="both"/>
        <w:rPr>
          <w:i/>
          <w:u w:val="single"/>
          <w:lang w:val="en-US"/>
        </w:rPr>
      </w:pPr>
    </w:p>
    <w:p w:rsidR="00896AB3" w:rsidRPr="00B0342F" w:rsidRDefault="00896AB3" w:rsidP="006C59B4">
      <w:pPr>
        <w:jc w:val="both"/>
        <w:rPr>
          <w:lang w:val="en-US"/>
        </w:rPr>
      </w:pPr>
      <w:proofErr w:type="spellStart"/>
      <w:r w:rsidRPr="00CB7C12">
        <w:rPr>
          <w:b/>
          <w:i/>
          <w:lang w:val="en-US"/>
        </w:rPr>
        <w:t>Data_Bil_Rilevato_BP</w:t>
      </w:r>
      <w:proofErr w:type="spellEnd"/>
      <w:r w:rsidRPr="00CB7C12">
        <w:rPr>
          <w:lang w:val="en-US"/>
        </w:rPr>
        <w:t xml:space="preserve">. </w:t>
      </w:r>
      <w:r w:rsidR="00B0342F">
        <w:rPr>
          <w:lang w:val="en-US"/>
        </w:rPr>
        <w:t>This variable reports the date of the balance sheet</w:t>
      </w:r>
      <w:r w:rsidR="00B0342F" w:rsidRPr="00B0342F">
        <w:rPr>
          <w:lang w:val="en-US"/>
        </w:rPr>
        <w:t xml:space="preserve"> </w:t>
      </w:r>
      <w:r w:rsidR="00B0342F">
        <w:rPr>
          <w:lang w:val="en-US"/>
        </w:rPr>
        <w:t>when</w:t>
      </w:r>
      <w:r w:rsidR="00B0342F" w:rsidRPr="00B0342F">
        <w:rPr>
          <w:lang w:val="en-US"/>
        </w:rPr>
        <w:t xml:space="preserve"> </w:t>
      </w:r>
      <w:r w:rsidR="00B0342F">
        <w:rPr>
          <w:lang w:val="en-US"/>
        </w:rPr>
        <w:t xml:space="preserve">it </w:t>
      </w:r>
      <w:r w:rsidR="00B0342F" w:rsidRPr="00B0342F">
        <w:rPr>
          <w:lang w:val="en-US"/>
        </w:rPr>
        <w:t xml:space="preserve">is not referred to December 31st. </w:t>
      </w:r>
      <w:r w:rsidR="00B0342F">
        <w:rPr>
          <w:lang w:val="en-US"/>
        </w:rPr>
        <w:t xml:space="preserve"> </w:t>
      </w:r>
      <w:r w:rsidR="00B0342F" w:rsidRPr="00B0342F">
        <w:rPr>
          <w:lang w:val="en-US"/>
        </w:rPr>
        <w:t>I</w:t>
      </w:r>
      <w:r w:rsidR="00B0342F">
        <w:rPr>
          <w:lang w:val="en-US"/>
        </w:rPr>
        <w:t>t concerns only cooperative banks (BP).</w:t>
      </w:r>
    </w:p>
    <w:p w:rsidR="00CA78C0" w:rsidRPr="00B0342F" w:rsidRDefault="00896AB3" w:rsidP="006C59B4">
      <w:pPr>
        <w:jc w:val="both"/>
        <w:rPr>
          <w:b/>
          <w:i/>
          <w:lang w:val="en-US"/>
        </w:rPr>
      </w:pPr>
      <w:r w:rsidRPr="00B0342F">
        <w:rPr>
          <w:lang w:val="en-US"/>
        </w:rPr>
        <w:t xml:space="preserve"> </w:t>
      </w:r>
    </w:p>
    <w:p w:rsidR="003E37EA" w:rsidRPr="003E37EA" w:rsidRDefault="003927EC" w:rsidP="006C59B4">
      <w:pPr>
        <w:jc w:val="both"/>
        <w:rPr>
          <w:lang w:val="en-US"/>
        </w:rPr>
      </w:pPr>
      <w:r w:rsidRPr="00B0342F">
        <w:rPr>
          <w:b/>
          <w:i/>
          <w:lang w:val="en-US"/>
        </w:rPr>
        <w:t xml:space="preserve">Voce*, </w:t>
      </w:r>
      <w:proofErr w:type="spellStart"/>
      <w:r w:rsidRPr="00B0342F">
        <w:rPr>
          <w:b/>
          <w:i/>
          <w:lang w:val="en-US"/>
        </w:rPr>
        <w:t>Sot_voce</w:t>
      </w:r>
      <w:proofErr w:type="spellEnd"/>
      <w:r w:rsidRPr="00B0342F">
        <w:rPr>
          <w:b/>
          <w:i/>
          <w:lang w:val="en-US"/>
        </w:rPr>
        <w:t>* e Sot1_voce*</w:t>
      </w:r>
      <w:r w:rsidR="00B0342F">
        <w:rPr>
          <w:lang w:val="en-US"/>
        </w:rPr>
        <w:t xml:space="preserve"> r</w:t>
      </w:r>
      <w:r w:rsidR="00B0342F" w:rsidRPr="00B0342F">
        <w:rPr>
          <w:lang w:val="en-US"/>
        </w:rPr>
        <w:t>efer, respectively, to main items</w:t>
      </w:r>
      <w:r w:rsidR="00B0342F">
        <w:rPr>
          <w:lang w:val="en-US"/>
        </w:rPr>
        <w:t xml:space="preserve"> </w:t>
      </w:r>
      <w:r w:rsidR="00B0342F" w:rsidRPr="00BC79E6">
        <w:rPr>
          <w:lang w:val="en-US"/>
        </w:rPr>
        <w:t xml:space="preserve">(Tab. </w:t>
      </w:r>
      <w:r w:rsidR="00B0342F">
        <w:rPr>
          <w:lang w:val="en-US"/>
        </w:rPr>
        <w:t>3</w:t>
      </w:r>
      <w:r w:rsidR="00B0342F" w:rsidRPr="00BC79E6">
        <w:rPr>
          <w:lang w:val="en-US"/>
        </w:rPr>
        <w:t>)</w:t>
      </w:r>
      <w:r w:rsidR="00B0342F" w:rsidRPr="00B0342F">
        <w:rPr>
          <w:lang w:val="en-US"/>
        </w:rPr>
        <w:t>, su</w:t>
      </w:r>
      <w:r w:rsidR="00B0342F">
        <w:rPr>
          <w:lang w:val="en-US"/>
        </w:rPr>
        <w:t>b</w:t>
      </w:r>
      <w:r w:rsidR="00B0342F" w:rsidRPr="00B0342F">
        <w:rPr>
          <w:lang w:val="en-US"/>
        </w:rPr>
        <w:t xml:space="preserve">-items </w:t>
      </w:r>
      <w:r w:rsidR="00B0342F" w:rsidRPr="00BC79E6">
        <w:rPr>
          <w:lang w:val="en-US"/>
        </w:rPr>
        <w:t xml:space="preserve">(Tab. </w:t>
      </w:r>
      <w:r w:rsidR="00B0342F">
        <w:rPr>
          <w:lang w:val="en-US"/>
        </w:rPr>
        <w:t>4</w:t>
      </w:r>
      <w:r w:rsidR="00B0342F" w:rsidRPr="00BC79E6">
        <w:rPr>
          <w:lang w:val="en-US"/>
        </w:rPr>
        <w:t>)</w:t>
      </w:r>
      <w:r w:rsidR="00B0342F">
        <w:rPr>
          <w:lang w:val="en-US"/>
        </w:rPr>
        <w:t xml:space="preserve"> </w:t>
      </w:r>
      <w:r w:rsidR="00B0342F" w:rsidRPr="00B0342F">
        <w:rPr>
          <w:lang w:val="en-US"/>
        </w:rPr>
        <w:t>and tertiary items</w:t>
      </w:r>
      <w:r w:rsidR="00B0342F">
        <w:rPr>
          <w:lang w:val="en-US"/>
        </w:rPr>
        <w:t xml:space="preserve"> </w:t>
      </w:r>
      <w:r w:rsidR="00B0342F" w:rsidRPr="00BC79E6">
        <w:rPr>
          <w:lang w:val="en-US"/>
        </w:rPr>
        <w:t xml:space="preserve">(Tab. </w:t>
      </w:r>
      <w:r w:rsidR="00B0342F">
        <w:rPr>
          <w:lang w:val="en-US"/>
        </w:rPr>
        <w:t>5</w:t>
      </w:r>
      <w:r w:rsidR="00B0342F" w:rsidRPr="00BC79E6">
        <w:rPr>
          <w:lang w:val="en-US"/>
        </w:rPr>
        <w:t>)</w:t>
      </w:r>
      <w:r w:rsidR="00B0342F" w:rsidRPr="00B0342F">
        <w:rPr>
          <w:lang w:val="en-US"/>
        </w:rPr>
        <w:t xml:space="preserve">. </w:t>
      </w:r>
      <w:r w:rsidR="003E37EA">
        <w:rPr>
          <w:lang w:val="en-US"/>
        </w:rPr>
        <w:t>Main items and sub-items are</w:t>
      </w:r>
      <w:r w:rsidR="00B0342F">
        <w:rPr>
          <w:lang w:val="en-US"/>
        </w:rPr>
        <w:t xml:space="preserve"> defined by a 4-digit code</w:t>
      </w:r>
      <w:r w:rsidR="000F1E8C">
        <w:rPr>
          <w:rStyle w:val="Rimandonotaapidipagina"/>
        </w:rPr>
        <w:footnoteReference w:id="1"/>
      </w:r>
      <w:r w:rsidR="003E37EA">
        <w:rPr>
          <w:lang w:val="en-US"/>
        </w:rPr>
        <w:t xml:space="preserve">, tertiary items by a 5-digit code. Their description is contained in </w:t>
      </w:r>
      <w:r w:rsidR="003E37EA" w:rsidRPr="003E37EA">
        <w:rPr>
          <w:i/>
          <w:lang w:val="en-US"/>
        </w:rPr>
        <w:t>metadata.xls</w:t>
      </w:r>
      <w:r w:rsidR="003E37EA">
        <w:rPr>
          <w:lang w:val="en-US"/>
        </w:rPr>
        <w:t>. As already mentioned, the abridged version (</w:t>
      </w:r>
      <w:proofErr w:type="spellStart"/>
      <w:r w:rsidR="003E37EA" w:rsidRPr="00EF64BD">
        <w:rPr>
          <w:i/>
          <w:lang w:val="en-US"/>
        </w:rPr>
        <w:t>ASCI_light</w:t>
      </w:r>
      <w:proofErr w:type="spellEnd"/>
      <w:r w:rsidR="003E37EA">
        <w:rPr>
          <w:lang w:val="en-US"/>
        </w:rPr>
        <w:t>) includes only the main items.</w:t>
      </w:r>
    </w:p>
    <w:p w:rsidR="00B0342F" w:rsidRPr="003E37EA" w:rsidRDefault="00B0342F" w:rsidP="006C59B4">
      <w:pPr>
        <w:jc w:val="both"/>
        <w:rPr>
          <w:lang w:val="en-US"/>
        </w:rPr>
      </w:pPr>
    </w:p>
    <w:p w:rsidR="00EF589F" w:rsidRDefault="00EF589F" w:rsidP="006C59B4">
      <w:pPr>
        <w:jc w:val="both"/>
        <w:rPr>
          <w:lang w:val="en-US"/>
        </w:rPr>
      </w:pPr>
    </w:p>
    <w:p w:rsidR="00EF589F" w:rsidRDefault="00EF589F" w:rsidP="006C59B4">
      <w:pPr>
        <w:jc w:val="both"/>
        <w:rPr>
          <w:lang w:val="en-US"/>
        </w:rPr>
      </w:pPr>
    </w:p>
    <w:p w:rsidR="00B0342F" w:rsidRPr="00255739" w:rsidRDefault="00255739" w:rsidP="006C59B4">
      <w:pPr>
        <w:jc w:val="both"/>
        <w:rPr>
          <w:lang w:val="en-US"/>
        </w:rPr>
      </w:pPr>
      <w:r w:rsidRPr="00255739">
        <w:rPr>
          <w:lang w:val="en-US"/>
        </w:rPr>
        <w:t>All the following tables are also available in</w:t>
      </w:r>
      <w:r>
        <w:rPr>
          <w:lang w:val="en-US"/>
        </w:rPr>
        <w:t xml:space="preserve"> Excel format in</w:t>
      </w:r>
      <w:r w:rsidRPr="00255739">
        <w:rPr>
          <w:lang w:val="en-US"/>
        </w:rPr>
        <w:t xml:space="preserve"> </w:t>
      </w:r>
      <w:r w:rsidRPr="003E37EA">
        <w:rPr>
          <w:i/>
          <w:lang w:val="en-US"/>
        </w:rPr>
        <w:t>metadata.xls</w:t>
      </w:r>
      <w:r>
        <w:rPr>
          <w:lang w:val="en-US"/>
        </w:rPr>
        <w:t>.</w:t>
      </w:r>
    </w:p>
    <w:p w:rsidR="007449C9" w:rsidRPr="00255739" w:rsidRDefault="007449C9" w:rsidP="007449C9">
      <w:pPr>
        <w:jc w:val="both"/>
        <w:rPr>
          <w:lang w:val="en-US"/>
        </w:rPr>
      </w:pPr>
    </w:p>
    <w:p w:rsidR="00E3017F" w:rsidRPr="007449C9" w:rsidRDefault="00437968" w:rsidP="007449C9">
      <w:pPr>
        <w:jc w:val="right"/>
        <w:rPr>
          <w:rFonts w:ascii="Arial" w:hAnsi="Arial" w:cs="Arial"/>
          <w:b/>
          <w:color w:val="00547A"/>
          <w:sz w:val="16"/>
          <w:lang w:eastAsia="en-GB"/>
        </w:rPr>
      </w:pPr>
      <w:r w:rsidRPr="00255739">
        <w:rPr>
          <w:lang w:val="en-US"/>
        </w:rPr>
        <w:br w:type="page"/>
      </w:r>
      <w:proofErr w:type="spellStart"/>
      <w:r w:rsidR="008455A9">
        <w:rPr>
          <w:rFonts w:ascii="Arial" w:hAnsi="Arial" w:cs="Arial"/>
          <w:b/>
          <w:color w:val="00547A"/>
          <w:sz w:val="16"/>
          <w:lang w:eastAsia="en-GB"/>
        </w:rPr>
        <w:lastRenderedPageBreak/>
        <w:t>Table</w:t>
      </w:r>
      <w:proofErr w:type="spellEnd"/>
      <w:r w:rsidR="00E3017F" w:rsidRPr="007449C9">
        <w:rPr>
          <w:rFonts w:ascii="Arial" w:hAnsi="Arial" w:cs="Arial"/>
          <w:b/>
          <w:color w:val="00547A"/>
          <w:sz w:val="16"/>
          <w:lang w:eastAsia="en-GB"/>
        </w:rPr>
        <w:t xml:space="preserve"> 2</w:t>
      </w:r>
    </w:p>
    <w:p w:rsidR="00E3017F" w:rsidRDefault="008455A9" w:rsidP="00E3017F">
      <w:pPr>
        <w:jc w:val="center"/>
        <w:rPr>
          <w:b/>
          <w:sz w:val="28"/>
        </w:rPr>
      </w:pPr>
      <w:r>
        <w:rPr>
          <w:b/>
          <w:sz w:val="28"/>
        </w:rPr>
        <w:t xml:space="preserve">Balance </w:t>
      </w:r>
      <w:proofErr w:type="spellStart"/>
      <w:r>
        <w:rPr>
          <w:b/>
          <w:sz w:val="28"/>
        </w:rPr>
        <w:t>sheet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schemes</w:t>
      </w:r>
      <w:proofErr w:type="spellEnd"/>
    </w:p>
    <w:p w:rsidR="004440C3" w:rsidRDefault="004440C3" w:rsidP="00E3017F">
      <w:pPr>
        <w:jc w:val="center"/>
        <w:rPr>
          <w:b/>
          <w:sz w:val="28"/>
        </w:rPr>
      </w:pPr>
    </w:p>
    <w:p w:rsidR="00E3017F" w:rsidRDefault="00D315D8" w:rsidP="00E3017F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>
            <wp:extent cx="6114415" cy="3589655"/>
            <wp:effectExtent l="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968" w:rsidRDefault="00E3017F" w:rsidP="00437968">
      <w:pPr>
        <w:pStyle w:val="tavnumero"/>
        <w:tabs>
          <w:tab w:val="left" w:pos="720"/>
        </w:tabs>
        <w:spacing w:before="120"/>
        <w:ind w:right="497"/>
        <w:rPr>
          <w:rFonts w:cs="Arial"/>
        </w:rPr>
      </w:pPr>
      <w:r>
        <w:br w:type="page"/>
      </w:r>
      <w:proofErr w:type="spellStart"/>
      <w:r w:rsidR="00EF589F">
        <w:rPr>
          <w:rFonts w:cs="Arial"/>
        </w:rPr>
        <w:t>Table</w:t>
      </w:r>
      <w:proofErr w:type="spellEnd"/>
      <w:r w:rsidR="00437968">
        <w:rPr>
          <w:rFonts w:cs="Arial"/>
        </w:rPr>
        <w:t xml:space="preserve"> </w:t>
      </w:r>
      <w:r w:rsidR="00834CE7">
        <w:rPr>
          <w:rFonts w:cs="Arial"/>
        </w:rPr>
        <w:t>3</w:t>
      </w:r>
    </w:p>
    <w:p w:rsidR="00437968" w:rsidRDefault="00EF589F" w:rsidP="00437968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Main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items</w:t>
      </w:r>
      <w:proofErr w:type="spellEnd"/>
    </w:p>
    <w:p w:rsidR="00693BE4" w:rsidRDefault="00693BE4" w:rsidP="00437968">
      <w:pPr>
        <w:jc w:val="center"/>
      </w:pPr>
    </w:p>
    <w:p w:rsidR="00693BE4" w:rsidRDefault="00693BE4" w:rsidP="00437968">
      <w:pPr>
        <w:jc w:val="center"/>
      </w:pPr>
    </w:p>
    <w:p w:rsidR="00B14626" w:rsidRDefault="00D315D8" w:rsidP="00437968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>
            <wp:extent cx="6120765" cy="613473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13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968" w:rsidRDefault="00437968" w:rsidP="001D5289">
      <w:pPr>
        <w:ind w:left="1080"/>
        <w:jc w:val="center"/>
      </w:pPr>
    </w:p>
    <w:p w:rsidR="00437968" w:rsidRDefault="00437968" w:rsidP="00B14626">
      <w:pPr>
        <w:ind w:left="1080"/>
      </w:pPr>
    </w:p>
    <w:p w:rsidR="00F254AF" w:rsidRDefault="00F254AF" w:rsidP="00AB2191">
      <w:pPr>
        <w:pStyle w:val="tavnumero"/>
        <w:tabs>
          <w:tab w:val="left" w:pos="720"/>
        </w:tabs>
        <w:spacing w:before="120"/>
        <w:ind w:right="497"/>
        <w:rPr>
          <w:rFonts w:cs="Arial"/>
        </w:rPr>
      </w:pPr>
      <w:r>
        <w:br w:type="page"/>
      </w:r>
      <w:proofErr w:type="spellStart"/>
      <w:r>
        <w:rPr>
          <w:rFonts w:cs="Arial"/>
        </w:rPr>
        <w:t>Ta</w:t>
      </w:r>
      <w:r w:rsidR="00EF589F">
        <w:rPr>
          <w:rFonts w:cs="Arial"/>
        </w:rPr>
        <w:t>ble</w:t>
      </w:r>
      <w:proofErr w:type="spellEnd"/>
      <w:r>
        <w:rPr>
          <w:rFonts w:cs="Arial"/>
        </w:rPr>
        <w:t xml:space="preserve"> </w:t>
      </w:r>
      <w:r w:rsidR="00834CE7">
        <w:rPr>
          <w:rFonts w:cs="Arial"/>
        </w:rPr>
        <w:t>4</w:t>
      </w:r>
    </w:p>
    <w:p w:rsidR="00F254AF" w:rsidRDefault="00EF589F" w:rsidP="00F254AF">
      <w:pPr>
        <w:jc w:val="center"/>
        <w:rPr>
          <w:b/>
          <w:sz w:val="28"/>
        </w:rPr>
      </w:pPr>
      <w:r>
        <w:rPr>
          <w:b/>
          <w:sz w:val="28"/>
        </w:rPr>
        <w:t>Sub-</w:t>
      </w:r>
      <w:proofErr w:type="spellStart"/>
      <w:r>
        <w:rPr>
          <w:b/>
          <w:sz w:val="28"/>
        </w:rPr>
        <w:t>items</w:t>
      </w:r>
      <w:proofErr w:type="spellEnd"/>
    </w:p>
    <w:p w:rsidR="00F810CF" w:rsidRDefault="00F810CF" w:rsidP="00F254AF">
      <w:pPr>
        <w:jc w:val="center"/>
        <w:rPr>
          <w:b/>
          <w:sz w:val="28"/>
        </w:rPr>
      </w:pPr>
    </w:p>
    <w:p w:rsidR="00F810CF" w:rsidRDefault="00D315D8" w:rsidP="00F254AF">
      <w:pPr>
        <w:jc w:val="center"/>
      </w:pPr>
      <w:r>
        <w:rPr>
          <w:noProof/>
        </w:rPr>
        <w:drawing>
          <wp:inline distT="0" distB="0" distL="0" distR="0">
            <wp:extent cx="6134735" cy="754697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754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0CF" w:rsidRDefault="00F810CF" w:rsidP="00F810CF">
      <w:pPr>
        <w:pStyle w:val="tavnumero"/>
        <w:tabs>
          <w:tab w:val="left" w:pos="720"/>
        </w:tabs>
        <w:spacing w:before="120"/>
        <w:ind w:right="497"/>
        <w:rPr>
          <w:rFonts w:cs="Arial"/>
        </w:rPr>
      </w:pPr>
      <w:r>
        <w:rPr>
          <w:rFonts w:cs="Arial"/>
        </w:rPr>
        <w:br w:type="page"/>
      </w:r>
      <w:proofErr w:type="spellStart"/>
      <w:r>
        <w:rPr>
          <w:rFonts w:cs="Arial"/>
        </w:rPr>
        <w:t>Table</w:t>
      </w:r>
      <w:proofErr w:type="spellEnd"/>
      <w:r>
        <w:rPr>
          <w:rFonts w:cs="Arial"/>
        </w:rPr>
        <w:t xml:space="preserve"> 4 (</w:t>
      </w:r>
      <w:proofErr w:type="spellStart"/>
      <w:r>
        <w:rPr>
          <w:rFonts w:cs="Arial"/>
        </w:rPr>
        <w:t>continues</w:t>
      </w:r>
      <w:proofErr w:type="spellEnd"/>
      <w:r>
        <w:rPr>
          <w:rFonts w:cs="Arial"/>
        </w:rPr>
        <w:t>)</w:t>
      </w:r>
    </w:p>
    <w:p w:rsidR="00F810CF" w:rsidRDefault="00F810CF" w:rsidP="00F810CF">
      <w:pPr>
        <w:jc w:val="center"/>
        <w:rPr>
          <w:b/>
          <w:sz w:val="28"/>
        </w:rPr>
      </w:pPr>
      <w:r>
        <w:rPr>
          <w:b/>
          <w:sz w:val="28"/>
        </w:rPr>
        <w:t>Sub-</w:t>
      </w:r>
      <w:proofErr w:type="spellStart"/>
      <w:r>
        <w:rPr>
          <w:b/>
          <w:sz w:val="28"/>
        </w:rPr>
        <w:t>items</w:t>
      </w:r>
      <w:proofErr w:type="spellEnd"/>
    </w:p>
    <w:p w:rsidR="00F810CF" w:rsidRDefault="00F810CF" w:rsidP="00F810CF">
      <w:pPr>
        <w:jc w:val="center"/>
        <w:rPr>
          <w:b/>
          <w:sz w:val="28"/>
        </w:rPr>
      </w:pPr>
    </w:p>
    <w:p w:rsidR="00F810CF" w:rsidRDefault="00D315D8" w:rsidP="00F254AF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>
            <wp:extent cx="5854700" cy="8168005"/>
            <wp:effectExtent l="0" t="0" r="0" b="444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926" w:rsidRDefault="00974926" w:rsidP="00F254AF">
      <w:pPr>
        <w:ind w:left="1080"/>
      </w:pPr>
    </w:p>
    <w:p w:rsidR="00F810CF" w:rsidRDefault="00F810CF" w:rsidP="00F810CF">
      <w:pPr>
        <w:pStyle w:val="tavnumero"/>
        <w:tabs>
          <w:tab w:val="left" w:pos="720"/>
        </w:tabs>
        <w:spacing w:before="120"/>
        <w:ind w:right="497"/>
        <w:rPr>
          <w:rFonts w:cs="Arial"/>
        </w:rPr>
      </w:pPr>
      <w:r>
        <w:rPr>
          <w:rFonts w:cs="Arial"/>
        </w:rPr>
        <w:br w:type="page"/>
      </w:r>
      <w:proofErr w:type="spellStart"/>
      <w:r>
        <w:rPr>
          <w:rFonts w:cs="Arial"/>
        </w:rPr>
        <w:t>Table</w:t>
      </w:r>
      <w:proofErr w:type="spellEnd"/>
      <w:r>
        <w:rPr>
          <w:rFonts w:cs="Arial"/>
        </w:rPr>
        <w:t xml:space="preserve"> 4 (</w:t>
      </w:r>
      <w:proofErr w:type="spellStart"/>
      <w:r>
        <w:rPr>
          <w:rFonts w:cs="Arial"/>
        </w:rPr>
        <w:t>continues</w:t>
      </w:r>
      <w:proofErr w:type="spellEnd"/>
      <w:r>
        <w:rPr>
          <w:rFonts w:cs="Arial"/>
        </w:rPr>
        <w:t>)</w:t>
      </w:r>
    </w:p>
    <w:p w:rsidR="00F810CF" w:rsidRDefault="00F810CF" w:rsidP="00F810CF">
      <w:pPr>
        <w:jc w:val="center"/>
        <w:rPr>
          <w:b/>
          <w:sz w:val="28"/>
        </w:rPr>
      </w:pPr>
      <w:r>
        <w:rPr>
          <w:b/>
          <w:sz w:val="28"/>
        </w:rPr>
        <w:t>Sub-</w:t>
      </w:r>
      <w:proofErr w:type="spellStart"/>
      <w:r>
        <w:rPr>
          <w:b/>
          <w:sz w:val="28"/>
        </w:rPr>
        <w:t>items</w:t>
      </w:r>
      <w:proofErr w:type="spellEnd"/>
    </w:p>
    <w:p w:rsidR="00804853" w:rsidRDefault="00804853" w:rsidP="00F810CF">
      <w:pPr>
        <w:pStyle w:val="tavnumero"/>
        <w:tabs>
          <w:tab w:val="left" w:pos="720"/>
        </w:tabs>
        <w:spacing w:before="120"/>
        <w:ind w:right="497"/>
        <w:rPr>
          <w:b w:val="0"/>
          <w:sz w:val="28"/>
        </w:rPr>
      </w:pPr>
    </w:p>
    <w:p w:rsidR="00AB2191" w:rsidRDefault="00D315D8" w:rsidP="00D35C09">
      <w:pPr>
        <w:jc w:val="center"/>
      </w:pPr>
      <w:r>
        <w:rPr>
          <w:noProof/>
        </w:rPr>
        <w:drawing>
          <wp:inline distT="0" distB="0" distL="0" distR="0">
            <wp:extent cx="6134735" cy="743140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743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926" w:rsidRDefault="00974926" w:rsidP="00F254AF">
      <w:pPr>
        <w:ind w:left="1080"/>
      </w:pPr>
    </w:p>
    <w:p w:rsidR="00AB2191" w:rsidRDefault="00AB2191" w:rsidP="00F254AF">
      <w:pPr>
        <w:ind w:left="1080"/>
      </w:pPr>
    </w:p>
    <w:p w:rsidR="00D83A44" w:rsidRDefault="00D83A44" w:rsidP="00F254AF">
      <w:pPr>
        <w:ind w:left="1080"/>
      </w:pPr>
    </w:p>
    <w:p w:rsidR="00412C47" w:rsidRDefault="00412C47" w:rsidP="0087215C">
      <w:pPr>
        <w:ind w:left="1080"/>
        <w:jc w:val="center"/>
      </w:pPr>
    </w:p>
    <w:p w:rsidR="00D83A44" w:rsidRPr="00F810CF" w:rsidRDefault="00D83A44" w:rsidP="00D83A44">
      <w:pPr>
        <w:pStyle w:val="tavnumero"/>
        <w:tabs>
          <w:tab w:val="left" w:pos="720"/>
        </w:tabs>
        <w:spacing w:before="120"/>
        <w:ind w:right="497"/>
        <w:rPr>
          <w:rFonts w:cs="Arial"/>
          <w:lang w:val="en-US"/>
        </w:rPr>
      </w:pPr>
      <w:r w:rsidRPr="00F810CF">
        <w:rPr>
          <w:rFonts w:cs="Arial"/>
          <w:lang w:val="en-US"/>
        </w:rPr>
        <w:t>Ta</w:t>
      </w:r>
      <w:r w:rsidR="00F810CF" w:rsidRPr="00F810CF">
        <w:rPr>
          <w:rFonts w:cs="Arial"/>
          <w:lang w:val="en-US"/>
        </w:rPr>
        <w:t>ble</w:t>
      </w:r>
      <w:r w:rsidRPr="00F810CF">
        <w:rPr>
          <w:rFonts w:cs="Arial"/>
          <w:lang w:val="en-US"/>
        </w:rPr>
        <w:t xml:space="preserve"> 5 </w:t>
      </w:r>
    </w:p>
    <w:p w:rsidR="00D83A44" w:rsidRPr="00F810CF" w:rsidRDefault="00F810CF" w:rsidP="00D83A44">
      <w:pPr>
        <w:jc w:val="center"/>
        <w:rPr>
          <w:b/>
          <w:sz w:val="28"/>
          <w:lang w:val="en-US"/>
        </w:rPr>
      </w:pPr>
      <w:r w:rsidRPr="00F810CF">
        <w:rPr>
          <w:b/>
          <w:sz w:val="28"/>
          <w:lang w:val="en-US"/>
        </w:rPr>
        <w:t>Tertiary items</w:t>
      </w:r>
    </w:p>
    <w:p w:rsidR="00D83A44" w:rsidRDefault="00F810CF" w:rsidP="00D83A44">
      <w:pPr>
        <w:jc w:val="center"/>
        <w:rPr>
          <w:i/>
          <w:sz w:val="20"/>
          <w:szCs w:val="20"/>
          <w:lang w:val="en-US"/>
        </w:rPr>
      </w:pPr>
      <w:r w:rsidRPr="00F810CF">
        <w:rPr>
          <w:i/>
          <w:sz w:val="20"/>
          <w:szCs w:val="20"/>
          <w:lang w:val="en-US"/>
        </w:rPr>
        <w:t>(sot1_voce*; period</w:t>
      </w:r>
      <w:r w:rsidR="00D83A44" w:rsidRPr="00F810CF">
        <w:rPr>
          <w:i/>
          <w:sz w:val="20"/>
          <w:szCs w:val="20"/>
          <w:lang w:val="en-US"/>
        </w:rPr>
        <w:t xml:space="preserve"> 1937-1973)</w:t>
      </w:r>
    </w:p>
    <w:p w:rsidR="00F810CF" w:rsidRPr="00F810CF" w:rsidRDefault="00F810CF" w:rsidP="00D83A44">
      <w:pPr>
        <w:jc w:val="center"/>
        <w:rPr>
          <w:i/>
          <w:sz w:val="20"/>
          <w:szCs w:val="20"/>
          <w:lang w:val="en-US"/>
        </w:rPr>
      </w:pPr>
    </w:p>
    <w:p w:rsidR="00247D00" w:rsidRDefault="00D315D8" w:rsidP="00F810CF">
      <w:pPr>
        <w:jc w:val="center"/>
        <w:rPr>
          <w:rFonts w:cs="Arial"/>
        </w:rPr>
      </w:pPr>
      <w:r>
        <w:rPr>
          <w:noProof/>
        </w:rPr>
        <w:drawing>
          <wp:inline distT="0" distB="0" distL="0" distR="0">
            <wp:extent cx="5950585" cy="773811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585" cy="773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10CF">
        <w:br w:type="page"/>
      </w:r>
    </w:p>
    <w:p w:rsidR="00BD532D" w:rsidRPr="00F810CF" w:rsidRDefault="00F810CF" w:rsidP="00BD532D">
      <w:pPr>
        <w:pStyle w:val="tavnumero"/>
        <w:tabs>
          <w:tab w:val="left" w:pos="720"/>
        </w:tabs>
        <w:spacing w:before="120"/>
        <w:ind w:right="497"/>
        <w:rPr>
          <w:rFonts w:cs="Arial"/>
          <w:lang w:val="en-US"/>
        </w:rPr>
      </w:pPr>
      <w:r w:rsidRPr="00F810CF">
        <w:rPr>
          <w:rFonts w:cs="Arial"/>
          <w:lang w:val="en-US"/>
        </w:rPr>
        <w:t>Table 5 (continues)</w:t>
      </w:r>
    </w:p>
    <w:p w:rsidR="00F810CF" w:rsidRPr="00F810CF" w:rsidRDefault="00F810CF" w:rsidP="00F810CF">
      <w:pPr>
        <w:jc w:val="center"/>
        <w:rPr>
          <w:b/>
          <w:sz w:val="28"/>
          <w:lang w:val="en-US"/>
        </w:rPr>
      </w:pPr>
      <w:r w:rsidRPr="00F810CF">
        <w:rPr>
          <w:b/>
          <w:sz w:val="28"/>
          <w:lang w:val="en-US"/>
        </w:rPr>
        <w:t>Tertiary items</w:t>
      </w:r>
    </w:p>
    <w:p w:rsidR="00F810CF" w:rsidRDefault="00F810CF" w:rsidP="00F810CF">
      <w:pPr>
        <w:jc w:val="center"/>
        <w:rPr>
          <w:i/>
          <w:sz w:val="20"/>
          <w:szCs w:val="20"/>
          <w:lang w:val="en-US"/>
        </w:rPr>
      </w:pPr>
      <w:r w:rsidRPr="00F810CF">
        <w:rPr>
          <w:i/>
          <w:sz w:val="20"/>
          <w:szCs w:val="20"/>
          <w:lang w:val="en-US"/>
        </w:rPr>
        <w:t>(sot1_voce*; period 1937-1973)</w:t>
      </w:r>
    </w:p>
    <w:p w:rsidR="00D57663" w:rsidRPr="00F810CF" w:rsidRDefault="00D57663" w:rsidP="00BD532D">
      <w:pPr>
        <w:jc w:val="center"/>
        <w:rPr>
          <w:i/>
          <w:sz w:val="20"/>
          <w:szCs w:val="20"/>
          <w:lang w:val="en-US"/>
        </w:rPr>
      </w:pPr>
    </w:p>
    <w:p w:rsidR="00C84CB5" w:rsidRDefault="00D315D8" w:rsidP="00BD532D">
      <w:pPr>
        <w:jc w:val="center"/>
        <w:rPr>
          <w:i/>
          <w:sz w:val="20"/>
          <w:szCs w:val="20"/>
        </w:rPr>
      </w:pPr>
      <w:r>
        <w:rPr>
          <w:noProof/>
        </w:rPr>
        <w:drawing>
          <wp:inline distT="0" distB="0" distL="0" distR="0">
            <wp:extent cx="6114415" cy="5684520"/>
            <wp:effectExtent l="0" t="0" r="635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568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4CB5">
      <w:foot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3C8" w:rsidRDefault="00CB73C8" w:rsidP="00545362">
      <w:r>
        <w:separator/>
      </w:r>
    </w:p>
  </w:endnote>
  <w:endnote w:type="continuationSeparator" w:id="0">
    <w:p w:rsidR="00CB73C8" w:rsidRDefault="00CB73C8" w:rsidP="0054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9C" w:rsidRDefault="00C6759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B7C12">
      <w:rPr>
        <w:noProof/>
      </w:rPr>
      <w:t>1</w:t>
    </w:r>
    <w:r>
      <w:fldChar w:fldCharType="end"/>
    </w:r>
  </w:p>
  <w:p w:rsidR="00C6759C" w:rsidRDefault="00C675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3C8" w:rsidRDefault="00CB73C8" w:rsidP="00545362">
      <w:r>
        <w:separator/>
      </w:r>
    </w:p>
  </w:footnote>
  <w:footnote w:type="continuationSeparator" w:id="0">
    <w:p w:rsidR="00CB73C8" w:rsidRDefault="00CB73C8" w:rsidP="00545362">
      <w:r>
        <w:continuationSeparator/>
      </w:r>
    </w:p>
  </w:footnote>
  <w:footnote w:id="1">
    <w:p w:rsidR="00C6759C" w:rsidRPr="003E37EA" w:rsidRDefault="00C6759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3E37EA">
        <w:rPr>
          <w:lang w:val="en-US"/>
        </w:rPr>
        <w:t xml:space="preserve"> </w:t>
      </w:r>
      <w:r w:rsidR="003E37EA" w:rsidRPr="003E37EA">
        <w:rPr>
          <w:lang w:val="en-US"/>
        </w:rPr>
        <w:t>When the code has 3 digits</w:t>
      </w:r>
      <w:r w:rsidR="003E37EA">
        <w:rPr>
          <w:lang w:val="en-US"/>
        </w:rPr>
        <w:t xml:space="preserve">, </w:t>
      </w:r>
      <w:r w:rsidR="003E37EA" w:rsidRPr="003E37EA">
        <w:rPr>
          <w:lang w:val="en-US"/>
        </w:rPr>
        <w:t>it is preceded by zero (i.e., “voce0300”)</w:t>
      </w:r>
      <w:r w:rsidRPr="003E37EA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1A5"/>
    <w:multiLevelType w:val="hybridMultilevel"/>
    <w:tmpl w:val="ED6036B8"/>
    <w:lvl w:ilvl="0" w:tplc="1EE4938C">
      <w:start w:val="1"/>
      <w:numFmt w:val="decimal"/>
      <w:lvlText w:val="%1)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3BF298C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250039D7"/>
    <w:multiLevelType w:val="hybridMultilevel"/>
    <w:tmpl w:val="5F244C02"/>
    <w:lvl w:ilvl="0" w:tplc="0410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2E1D3D47"/>
    <w:multiLevelType w:val="multilevel"/>
    <w:tmpl w:val="EB1293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333B29B5"/>
    <w:multiLevelType w:val="hybridMultilevel"/>
    <w:tmpl w:val="078022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DB0232"/>
    <w:multiLevelType w:val="multilevel"/>
    <w:tmpl w:val="D08AC75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2880"/>
      </w:pPr>
      <w:rPr>
        <w:rFonts w:hint="default"/>
      </w:rPr>
    </w:lvl>
  </w:abstractNum>
  <w:abstractNum w:abstractNumId="6">
    <w:nsid w:val="76074049"/>
    <w:multiLevelType w:val="multilevel"/>
    <w:tmpl w:val="97D43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790A44D0"/>
    <w:multiLevelType w:val="multilevel"/>
    <w:tmpl w:val="ED6036B8"/>
    <w:lvl w:ilvl="0">
      <w:start w:val="1"/>
      <w:numFmt w:val="decimal"/>
      <w:lvlText w:val="%1)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3D"/>
    <w:rsid w:val="00001113"/>
    <w:rsid w:val="000044CE"/>
    <w:rsid w:val="00005D88"/>
    <w:rsid w:val="000067BA"/>
    <w:rsid w:val="0001247B"/>
    <w:rsid w:val="000127F9"/>
    <w:rsid w:val="00014D31"/>
    <w:rsid w:val="0001592B"/>
    <w:rsid w:val="000171D9"/>
    <w:rsid w:val="00017981"/>
    <w:rsid w:val="00022922"/>
    <w:rsid w:val="0002422A"/>
    <w:rsid w:val="00027C9C"/>
    <w:rsid w:val="00027CDC"/>
    <w:rsid w:val="000321C2"/>
    <w:rsid w:val="00033D0E"/>
    <w:rsid w:val="000419BB"/>
    <w:rsid w:val="000422B5"/>
    <w:rsid w:val="00042A39"/>
    <w:rsid w:val="00043A8C"/>
    <w:rsid w:val="00043F40"/>
    <w:rsid w:val="00043FB3"/>
    <w:rsid w:val="0004449B"/>
    <w:rsid w:val="00044582"/>
    <w:rsid w:val="000449AE"/>
    <w:rsid w:val="00045EC8"/>
    <w:rsid w:val="00046F88"/>
    <w:rsid w:val="00050154"/>
    <w:rsid w:val="000502D9"/>
    <w:rsid w:val="00052AE8"/>
    <w:rsid w:val="00053A14"/>
    <w:rsid w:val="00055068"/>
    <w:rsid w:val="0005537B"/>
    <w:rsid w:val="0005785C"/>
    <w:rsid w:val="00060264"/>
    <w:rsid w:val="0006045C"/>
    <w:rsid w:val="00060FF0"/>
    <w:rsid w:val="00062CB1"/>
    <w:rsid w:val="00064D99"/>
    <w:rsid w:val="00067203"/>
    <w:rsid w:val="00080829"/>
    <w:rsid w:val="00080B62"/>
    <w:rsid w:val="00080FB8"/>
    <w:rsid w:val="00081C48"/>
    <w:rsid w:val="0008340C"/>
    <w:rsid w:val="00084081"/>
    <w:rsid w:val="00096C0B"/>
    <w:rsid w:val="000977EF"/>
    <w:rsid w:val="000A0E68"/>
    <w:rsid w:val="000A2CEE"/>
    <w:rsid w:val="000A3324"/>
    <w:rsid w:val="000A41BC"/>
    <w:rsid w:val="000A4AAF"/>
    <w:rsid w:val="000A7D9B"/>
    <w:rsid w:val="000B0142"/>
    <w:rsid w:val="000B0589"/>
    <w:rsid w:val="000B13C0"/>
    <w:rsid w:val="000B1A7A"/>
    <w:rsid w:val="000B2C6E"/>
    <w:rsid w:val="000B401B"/>
    <w:rsid w:val="000B55EF"/>
    <w:rsid w:val="000B60EE"/>
    <w:rsid w:val="000C1DD6"/>
    <w:rsid w:val="000C1EE8"/>
    <w:rsid w:val="000C422C"/>
    <w:rsid w:val="000C4CDD"/>
    <w:rsid w:val="000C51B9"/>
    <w:rsid w:val="000C7C9A"/>
    <w:rsid w:val="000C7EDC"/>
    <w:rsid w:val="000D058B"/>
    <w:rsid w:val="000D0F05"/>
    <w:rsid w:val="000D3D7B"/>
    <w:rsid w:val="000D42F2"/>
    <w:rsid w:val="000D4DAC"/>
    <w:rsid w:val="000D7404"/>
    <w:rsid w:val="000E2FE2"/>
    <w:rsid w:val="000E77E3"/>
    <w:rsid w:val="000F0D86"/>
    <w:rsid w:val="000F1E8C"/>
    <w:rsid w:val="000F3547"/>
    <w:rsid w:val="000F3CE8"/>
    <w:rsid w:val="000F54F3"/>
    <w:rsid w:val="00103A4B"/>
    <w:rsid w:val="00103DC4"/>
    <w:rsid w:val="00114761"/>
    <w:rsid w:val="00117CBE"/>
    <w:rsid w:val="00120155"/>
    <w:rsid w:val="00120760"/>
    <w:rsid w:val="00122472"/>
    <w:rsid w:val="00127D13"/>
    <w:rsid w:val="001304D0"/>
    <w:rsid w:val="00132533"/>
    <w:rsid w:val="00132AF8"/>
    <w:rsid w:val="00134080"/>
    <w:rsid w:val="00135E32"/>
    <w:rsid w:val="00136F3A"/>
    <w:rsid w:val="00145A4F"/>
    <w:rsid w:val="0014794D"/>
    <w:rsid w:val="00147E15"/>
    <w:rsid w:val="001543FE"/>
    <w:rsid w:val="001606F0"/>
    <w:rsid w:val="00160D41"/>
    <w:rsid w:val="00171017"/>
    <w:rsid w:val="00172A9A"/>
    <w:rsid w:val="001739C6"/>
    <w:rsid w:val="0018087F"/>
    <w:rsid w:val="001850BD"/>
    <w:rsid w:val="001852B1"/>
    <w:rsid w:val="00186F92"/>
    <w:rsid w:val="00190383"/>
    <w:rsid w:val="0019044C"/>
    <w:rsid w:val="0019146F"/>
    <w:rsid w:val="001A1DAB"/>
    <w:rsid w:val="001A25EC"/>
    <w:rsid w:val="001A5F57"/>
    <w:rsid w:val="001A7376"/>
    <w:rsid w:val="001B275D"/>
    <w:rsid w:val="001B3188"/>
    <w:rsid w:val="001B3731"/>
    <w:rsid w:val="001B380D"/>
    <w:rsid w:val="001B72AA"/>
    <w:rsid w:val="001B7323"/>
    <w:rsid w:val="001C4BDD"/>
    <w:rsid w:val="001C4F78"/>
    <w:rsid w:val="001C5E2E"/>
    <w:rsid w:val="001C6692"/>
    <w:rsid w:val="001C7454"/>
    <w:rsid w:val="001D099F"/>
    <w:rsid w:val="001D10C6"/>
    <w:rsid w:val="001D1ACD"/>
    <w:rsid w:val="001D1AE5"/>
    <w:rsid w:val="001D2622"/>
    <w:rsid w:val="001D40E0"/>
    <w:rsid w:val="001D5289"/>
    <w:rsid w:val="001D6920"/>
    <w:rsid w:val="001E38FD"/>
    <w:rsid w:val="001F1B30"/>
    <w:rsid w:val="001F34EA"/>
    <w:rsid w:val="001F3E4F"/>
    <w:rsid w:val="00201F29"/>
    <w:rsid w:val="00202803"/>
    <w:rsid w:val="00202968"/>
    <w:rsid w:val="002047EB"/>
    <w:rsid w:val="00206A16"/>
    <w:rsid w:val="00206CA3"/>
    <w:rsid w:val="0021031B"/>
    <w:rsid w:val="00212A5B"/>
    <w:rsid w:val="00212F47"/>
    <w:rsid w:val="00213FB8"/>
    <w:rsid w:val="00217024"/>
    <w:rsid w:val="00220893"/>
    <w:rsid w:val="0022174F"/>
    <w:rsid w:val="00221926"/>
    <w:rsid w:val="00221DC3"/>
    <w:rsid w:val="00222261"/>
    <w:rsid w:val="00223E2A"/>
    <w:rsid w:val="00224DF4"/>
    <w:rsid w:val="00225756"/>
    <w:rsid w:val="00226637"/>
    <w:rsid w:val="00230123"/>
    <w:rsid w:val="00233FEF"/>
    <w:rsid w:val="00234752"/>
    <w:rsid w:val="00235026"/>
    <w:rsid w:val="00235ACC"/>
    <w:rsid w:val="0023631D"/>
    <w:rsid w:val="00237C4F"/>
    <w:rsid w:val="002426F8"/>
    <w:rsid w:val="002440EE"/>
    <w:rsid w:val="00246534"/>
    <w:rsid w:val="0024705E"/>
    <w:rsid w:val="00247CDB"/>
    <w:rsid w:val="00247D00"/>
    <w:rsid w:val="002516A4"/>
    <w:rsid w:val="00253A2D"/>
    <w:rsid w:val="00254FE4"/>
    <w:rsid w:val="00255739"/>
    <w:rsid w:val="002622AE"/>
    <w:rsid w:val="002645A0"/>
    <w:rsid w:val="002646F7"/>
    <w:rsid w:val="00265029"/>
    <w:rsid w:val="00267834"/>
    <w:rsid w:val="00270708"/>
    <w:rsid w:val="00274156"/>
    <w:rsid w:val="002750EB"/>
    <w:rsid w:val="002752BA"/>
    <w:rsid w:val="002810AB"/>
    <w:rsid w:val="0028253D"/>
    <w:rsid w:val="00285773"/>
    <w:rsid w:val="002877D8"/>
    <w:rsid w:val="0029055B"/>
    <w:rsid w:val="00292C7D"/>
    <w:rsid w:val="00293819"/>
    <w:rsid w:val="00295348"/>
    <w:rsid w:val="002961DC"/>
    <w:rsid w:val="00296376"/>
    <w:rsid w:val="00296CEC"/>
    <w:rsid w:val="002A0152"/>
    <w:rsid w:val="002A254A"/>
    <w:rsid w:val="002A28B3"/>
    <w:rsid w:val="002A6BAB"/>
    <w:rsid w:val="002B04A5"/>
    <w:rsid w:val="002B0AC3"/>
    <w:rsid w:val="002B0C0D"/>
    <w:rsid w:val="002B1D74"/>
    <w:rsid w:val="002B7331"/>
    <w:rsid w:val="002C0A95"/>
    <w:rsid w:val="002C1068"/>
    <w:rsid w:val="002C27BA"/>
    <w:rsid w:val="002C5D8B"/>
    <w:rsid w:val="002C60B9"/>
    <w:rsid w:val="002C6134"/>
    <w:rsid w:val="002D1470"/>
    <w:rsid w:val="002D23F0"/>
    <w:rsid w:val="002D2999"/>
    <w:rsid w:val="002D7825"/>
    <w:rsid w:val="002D79AE"/>
    <w:rsid w:val="002E0602"/>
    <w:rsid w:val="002E0A81"/>
    <w:rsid w:val="002E3A35"/>
    <w:rsid w:val="002E7324"/>
    <w:rsid w:val="002E746F"/>
    <w:rsid w:val="002F1CEB"/>
    <w:rsid w:val="002F22A5"/>
    <w:rsid w:val="002F6DCC"/>
    <w:rsid w:val="002F6E7B"/>
    <w:rsid w:val="003010A6"/>
    <w:rsid w:val="00301F6E"/>
    <w:rsid w:val="003100C9"/>
    <w:rsid w:val="00310E3C"/>
    <w:rsid w:val="00311244"/>
    <w:rsid w:val="00316AA4"/>
    <w:rsid w:val="003176B7"/>
    <w:rsid w:val="00326689"/>
    <w:rsid w:val="00326E16"/>
    <w:rsid w:val="00327B38"/>
    <w:rsid w:val="0033319B"/>
    <w:rsid w:val="003363BE"/>
    <w:rsid w:val="00336E6F"/>
    <w:rsid w:val="00344A1A"/>
    <w:rsid w:val="00347B3E"/>
    <w:rsid w:val="00350F5D"/>
    <w:rsid w:val="00353C5F"/>
    <w:rsid w:val="00357125"/>
    <w:rsid w:val="00357F22"/>
    <w:rsid w:val="00360A1B"/>
    <w:rsid w:val="00360E22"/>
    <w:rsid w:val="003614E6"/>
    <w:rsid w:val="0036230D"/>
    <w:rsid w:val="00362955"/>
    <w:rsid w:val="0036684D"/>
    <w:rsid w:val="00370C08"/>
    <w:rsid w:val="003726AD"/>
    <w:rsid w:val="00374BA0"/>
    <w:rsid w:val="0037541D"/>
    <w:rsid w:val="003756ED"/>
    <w:rsid w:val="00380169"/>
    <w:rsid w:val="00380A02"/>
    <w:rsid w:val="003817E2"/>
    <w:rsid w:val="003819B2"/>
    <w:rsid w:val="003843E3"/>
    <w:rsid w:val="00384985"/>
    <w:rsid w:val="0038582C"/>
    <w:rsid w:val="003876DD"/>
    <w:rsid w:val="00387B0C"/>
    <w:rsid w:val="003927EC"/>
    <w:rsid w:val="00394FD7"/>
    <w:rsid w:val="00396BF3"/>
    <w:rsid w:val="003A082D"/>
    <w:rsid w:val="003A10BA"/>
    <w:rsid w:val="003A1E02"/>
    <w:rsid w:val="003A4D64"/>
    <w:rsid w:val="003A6051"/>
    <w:rsid w:val="003A6B42"/>
    <w:rsid w:val="003A7180"/>
    <w:rsid w:val="003B1F9B"/>
    <w:rsid w:val="003B35AD"/>
    <w:rsid w:val="003B4C31"/>
    <w:rsid w:val="003B569E"/>
    <w:rsid w:val="003B664A"/>
    <w:rsid w:val="003B7693"/>
    <w:rsid w:val="003C4705"/>
    <w:rsid w:val="003C661C"/>
    <w:rsid w:val="003C6831"/>
    <w:rsid w:val="003C72AB"/>
    <w:rsid w:val="003D45AB"/>
    <w:rsid w:val="003D5E85"/>
    <w:rsid w:val="003D6FC9"/>
    <w:rsid w:val="003D7B83"/>
    <w:rsid w:val="003E297C"/>
    <w:rsid w:val="003E2E73"/>
    <w:rsid w:val="003E37EA"/>
    <w:rsid w:val="003E5030"/>
    <w:rsid w:val="003E5C50"/>
    <w:rsid w:val="003F05BE"/>
    <w:rsid w:val="003F1703"/>
    <w:rsid w:val="003F2185"/>
    <w:rsid w:val="003F3D74"/>
    <w:rsid w:val="003F44D9"/>
    <w:rsid w:val="003F59E6"/>
    <w:rsid w:val="003F6DA6"/>
    <w:rsid w:val="004022A7"/>
    <w:rsid w:val="00402868"/>
    <w:rsid w:val="004046DE"/>
    <w:rsid w:val="00405C70"/>
    <w:rsid w:val="00406760"/>
    <w:rsid w:val="0040760B"/>
    <w:rsid w:val="00412C47"/>
    <w:rsid w:val="00412ED0"/>
    <w:rsid w:val="00417309"/>
    <w:rsid w:val="0042202F"/>
    <w:rsid w:val="004227DD"/>
    <w:rsid w:val="0042337E"/>
    <w:rsid w:val="004238D9"/>
    <w:rsid w:val="00424838"/>
    <w:rsid w:val="004307D3"/>
    <w:rsid w:val="0043080F"/>
    <w:rsid w:val="00430989"/>
    <w:rsid w:val="004312A4"/>
    <w:rsid w:val="0043197E"/>
    <w:rsid w:val="00432257"/>
    <w:rsid w:val="0043687A"/>
    <w:rsid w:val="00437968"/>
    <w:rsid w:val="00437CB4"/>
    <w:rsid w:val="00442F0E"/>
    <w:rsid w:val="004440C3"/>
    <w:rsid w:val="00444A82"/>
    <w:rsid w:val="00447774"/>
    <w:rsid w:val="00450C3E"/>
    <w:rsid w:val="0045169A"/>
    <w:rsid w:val="00452804"/>
    <w:rsid w:val="004528CB"/>
    <w:rsid w:val="00453C42"/>
    <w:rsid w:val="00453DA2"/>
    <w:rsid w:val="0045402C"/>
    <w:rsid w:val="00454F2D"/>
    <w:rsid w:val="0046132C"/>
    <w:rsid w:val="00472832"/>
    <w:rsid w:val="004766C8"/>
    <w:rsid w:val="00477591"/>
    <w:rsid w:val="00481A62"/>
    <w:rsid w:val="00484F9E"/>
    <w:rsid w:val="00486BEA"/>
    <w:rsid w:val="0049019D"/>
    <w:rsid w:val="00490E90"/>
    <w:rsid w:val="00491392"/>
    <w:rsid w:val="0049243B"/>
    <w:rsid w:val="004937A3"/>
    <w:rsid w:val="00494D65"/>
    <w:rsid w:val="00495C2F"/>
    <w:rsid w:val="004963C6"/>
    <w:rsid w:val="00497625"/>
    <w:rsid w:val="004B203D"/>
    <w:rsid w:val="004B25C2"/>
    <w:rsid w:val="004B3D28"/>
    <w:rsid w:val="004B52EA"/>
    <w:rsid w:val="004B5530"/>
    <w:rsid w:val="004C1C9D"/>
    <w:rsid w:val="004C6E16"/>
    <w:rsid w:val="004C7886"/>
    <w:rsid w:val="004C7EA7"/>
    <w:rsid w:val="004D2414"/>
    <w:rsid w:val="004D581D"/>
    <w:rsid w:val="004D5C2E"/>
    <w:rsid w:val="004D6689"/>
    <w:rsid w:val="004E0ECB"/>
    <w:rsid w:val="004E6794"/>
    <w:rsid w:val="004E75D4"/>
    <w:rsid w:val="004F1987"/>
    <w:rsid w:val="004F26E3"/>
    <w:rsid w:val="004F2A22"/>
    <w:rsid w:val="004F4CB2"/>
    <w:rsid w:val="004F5CC3"/>
    <w:rsid w:val="004F69CD"/>
    <w:rsid w:val="004F69DA"/>
    <w:rsid w:val="004F6BB9"/>
    <w:rsid w:val="004F6EA9"/>
    <w:rsid w:val="004F79ED"/>
    <w:rsid w:val="00501570"/>
    <w:rsid w:val="00505F36"/>
    <w:rsid w:val="00507816"/>
    <w:rsid w:val="005112F1"/>
    <w:rsid w:val="005117A9"/>
    <w:rsid w:val="00513E33"/>
    <w:rsid w:val="00514415"/>
    <w:rsid w:val="005158BD"/>
    <w:rsid w:val="0051629E"/>
    <w:rsid w:val="00520025"/>
    <w:rsid w:val="00522A1D"/>
    <w:rsid w:val="00523884"/>
    <w:rsid w:val="0052521E"/>
    <w:rsid w:val="00526BFE"/>
    <w:rsid w:val="00530B85"/>
    <w:rsid w:val="00532B60"/>
    <w:rsid w:val="00532FD0"/>
    <w:rsid w:val="00537428"/>
    <w:rsid w:val="00540E94"/>
    <w:rsid w:val="00543020"/>
    <w:rsid w:val="00545362"/>
    <w:rsid w:val="00545907"/>
    <w:rsid w:val="0055050A"/>
    <w:rsid w:val="00551C1D"/>
    <w:rsid w:val="00551E0B"/>
    <w:rsid w:val="00554E22"/>
    <w:rsid w:val="0055608A"/>
    <w:rsid w:val="00556E43"/>
    <w:rsid w:val="0056098B"/>
    <w:rsid w:val="00562AFA"/>
    <w:rsid w:val="005633AB"/>
    <w:rsid w:val="00563954"/>
    <w:rsid w:val="00565C76"/>
    <w:rsid w:val="00570BE0"/>
    <w:rsid w:val="0057448C"/>
    <w:rsid w:val="005762AF"/>
    <w:rsid w:val="00577416"/>
    <w:rsid w:val="00582AF7"/>
    <w:rsid w:val="005839C7"/>
    <w:rsid w:val="00585BF4"/>
    <w:rsid w:val="0058649F"/>
    <w:rsid w:val="005872C1"/>
    <w:rsid w:val="005874F5"/>
    <w:rsid w:val="0059292B"/>
    <w:rsid w:val="005950EB"/>
    <w:rsid w:val="00595230"/>
    <w:rsid w:val="00596CCD"/>
    <w:rsid w:val="005A1C28"/>
    <w:rsid w:val="005A6109"/>
    <w:rsid w:val="005A632F"/>
    <w:rsid w:val="005A7F9C"/>
    <w:rsid w:val="005B3274"/>
    <w:rsid w:val="005B3F85"/>
    <w:rsid w:val="005B3FC8"/>
    <w:rsid w:val="005B5418"/>
    <w:rsid w:val="005C0048"/>
    <w:rsid w:val="005C0686"/>
    <w:rsid w:val="005C099E"/>
    <w:rsid w:val="005C0FAD"/>
    <w:rsid w:val="005C100D"/>
    <w:rsid w:val="005C1F57"/>
    <w:rsid w:val="005C54C4"/>
    <w:rsid w:val="005D656C"/>
    <w:rsid w:val="005E0338"/>
    <w:rsid w:val="005E196A"/>
    <w:rsid w:val="005E2E24"/>
    <w:rsid w:val="005E3707"/>
    <w:rsid w:val="005E6694"/>
    <w:rsid w:val="005F1497"/>
    <w:rsid w:val="005F1C3B"/>
    <w:rsid w:val="005F2C19"/>
    <w:rsid w:val="00601803"/>
    <w:rsid w:val="006018B2"/>
    <w:rsid w:val="00602EA2"/>
    <w:rsid w:val="006061AE"/>
    <w:rsid w:val="006079CA"/>
    <w:rsid w:val="00611416"/>
    <w:rsid w:val="0061364C"/>
    <w:rsid w:val="00613CDB"/>
    <w:rsid w:val="00616075"/>
    <w:rsid w:val="00616E76"/>
    <w:rsid w:val="006170F7"/>
    <w:rsid w:val="00620826"/>
    <w:rsid w:val="0062145E"/>
    <w:rsid w:val="00621BAC"/>
    <w:rsid w:val="0062268E"/>
    <w:rsid w:val="00623FF2"/>
    <w:rsid w:val="00624238"/>
    <w:rsid w:val="006267D9"/>
    <w:rsid w:val="0062713D"/>
    <w:rsid w:val="006310A5"/>
    <w:rsid w:val="006339EA"/>
    <w:rsid w:val="00636EBF"/>
    <w:rsid w:val="00641798"/>
    <w:rsid w:val="00641A20"/>
    <w:rsid w:val="00653269"/>
    <w:rsid w:val="006615AD"/>
    <w:rsid w:val="0066175F"/>
    <w:rsid w:val="00661839"/>
    <w:rsid w:val="00661D3E"/>
    <w:rsid w:val="00667CBB"/>
    <w:rsid w:val="006723AA"/>
    <w:rsid w:val="006739AC"/>
    <w:rsid w:val="006747F1"/>
    <w:rsid w:val="00675CE3"/>
    <w:rsid w:val="006761F0"/>
    <w:rsid w:val="00680400"/>
    <w:rsid w:val="00681EF8"/>
    <w:rsid w:val="00685774"/>
    <w:rsid w:val="00685902"/>
    <w:rsid w:val="0068593A"/>
    <w:rsid w:val="00685FFC"/>
    <w:rsid w:val="006907A8"/>
    <w:rsid w:val="006913AA"/>
    <w:rsid w:val="00693BE4"/>
    <w:rsid w:val="00693D54"/>
    <w:rsid w:val="0069693C"/>
    <w:rsid w:val="006971ED"/>
    <w:rsid w:val="00697AC9"/>
    <w:rsid w:val="006A1BDD"/>
    <w:rsid w:val="006A23D3"/>
    <w:rsid w:val="006A4A64"/>
    <w:rsid w:val="006A5BEB"/>
    <w:rsid w:val="006A6477"/>
    <w:rsid w:val="006A78EE"/>
    <w:rsid w:val="006B0226"/>
    <w:rsid w:val="006B0EDA"/>
    <w:rsid w:val="006B3E71"/>
    <w:rsid w:val="006B7D8C"/>
    <w:rsid w:val="006C4E1D"/>
    <w:rsid w:val="006C59B4"/>
    <w:rsid w:val="006C77C5"/>
    <w:rsid w:val="006D569D"/>
    <w:rsid w:val="006E03F2"/>
    <w:rsid w:val="006E26F1"/>
    <w:rsid w:val="006E6892"/>
    <w:rsid w:val="006E7E59"/>
    <w:rsid w:val="006F13EF"/>
    <w:rsid w:val="006F1A75"/>
    <w:rsid w:val="006F1B57"/>
    <w:rsid w:val="006F433D"/>
    <w:rsid w:val="006F4717"/>
    <w:rsid w:val="006F5C69"/>
    <w:rsid w:val="007018CD"/>
    <w:rsid w:val="00703513"/>
    <w:rsid w:val="007055B5"/>
    <w:rsid w:val="00712351"/>
    <w:rsid w:val="007139BB"/>
    <w:rsid w:val="00714F5D"/>
    <w:rsid w:val="00717B1C"/>
    <w:rsid w:val="0072130A"/>
    <w:rsid w:val="007217E0"/>
    <w:rsid w:val="00721B84"/>
    <w:rsid w:val="00723407"/>
    <w:rsid w:val="007313FE"/>
    <w:rsid w:val="00731F62"/>
    <w:rsid w:val="007328E7"/>
    <w:rsid w:val="00732F22"/>
    <w:rsid w:val="0073395F"/>
    <w:rsid w:val="007347C5"/>
    <w:rsid w:val="00743E3A"/>
    <w:rsid w:val="007449C9"/>
    <w:rsid w:val="00744E98"/>
    <w:rsid w:val="00750D74"/>
    <w:rsid w:val="00751CA1"/>
    <w:rsid w:val="00754B95"/>
    <w:rsid w:val="0075681D"/>
    <w:rsid w:val="007569EF"/>
    <w:rsid w:val="00756C99"/>
    <w:rsid w:val="00756F7F"/>
    <w:rsid w:val="0076096E"/>
    <w:rsid w:val="0076127F"/>
    <w:rsid w:val="00761368"/>
    <w:rsid w:val="007618CF"/>
    <w:rsid w:val="00762D92"/>
    <w:rsid w:val="007655AC"/>
    <w:rsid w:val="0076624C"/>
    <w:rsid w:val="007668A3"/>
    <w:rsid w:val="00766CAF"/>
    <w:rsid w:val="007707E3"/>
    <w:rsid w:val="00771C7A"/>
    <w:rsid w:val="007723B9"/>
    <w:rsid w:val="0077286C"/>
    <w:rsid w:val="00774359"/>
    <w:rsid w:val="00774984"/>
    <w:rsid w:val="007753EE"/>
    <w:rsid w:val="0077561B"/>
    <w:rsid w:val="0077564E"/>
    <w:rsid w:val="00783316"/>
    <w:rsid w:val="00783CD6"/>
    <w:rsid w:val="00784879"/>
    <w:rsid w:val="007862D1"/>
    <w:rsid w:val="007872DE"/>
    <w:rsid w:val="007A1383"/>
    <w:rsid w:val="007A1C2D"/>
    <w:rsid w:val="007A7F14"/>
    <w:rsid w:val="007B1BD2"/>
    <w:rsid w:val="007B29C1"/>
    <w:rsid w:val="007B38C4"/>
    <w:rsid w:val="007B3C39"/>
    <w:rsid w:val="007B3E83"/>
    <w:rsid w:val="007B6F8A"/>
    <w:rsid w:val="007B7676"/>
    <w:rsid w:val="007C0AFE"/>
    <w:rsid w:val="007C1C9F"/>
    <w:rsid w:val="007C26F8"/>
    <w:rsid w:val="007C6244"/>
    <w:rsid w:val="007C6334"/>
    <w:rsid w:val="007C6DD6"/>
    <w:rsid w:val="007D0B78"/>
    <w:rsid w:val="007D1555"/>
    <w:rsid w:val="007D1B55"/>
    <w:rsid w:val="007D20CD"/>
    <w:rsid w:val="007D31EF"/>
    <w:rsid w:val="007D373B"/>
    <w:rsid w:val="007D40F8"/>
    <w:rsid w:val="007D6021"/>
    <w:rsid w:val="007D6084"/>
    <w:rsid w:val="007E46D9"/>
    <w:rsid w:val="007E6830"/>
    <w:rsid w:val="007E753B"/>
    <w:rsid w:val="007F15C6"/>
    <w:rsid w:val="007F1F09"/>
    <w:rsid w:val="007F70CC"/>
    <w:rsid w:val="00804853"/>
    <w:rsid w:val="00806F3A"/>
    <w:rsid w:val="00807856"/>
    <w:rsid w:val="00807901"/>
    <w:rsid w:val="00807F85"/>
    <w:rsid w:val="00811B8C"/>
    <w:rsid w:val="008128EC"/>
    <w:rsid w:val="00812C7D"/>
    <w:rsid w:val="00815A69"/>
    <w:rsid w:val="008163D0"/>
    <w:rsid w:val="00817412"/>
    <w:rsid w:val="00821257"/>
    <w:rsid w:val="0082489E"/>
    <w:rsid w:val="00826B2D"/>
    <w:rsid w:val="00826BA5"/>
    <w:rsid w:val="00826BCD"/>
    <w:rsid w:val="0083013D"/>
    <w:rsid w:val="00834CE7"/>
    <w:rsid w:val="00834D5B"/>
    <w:rsid w:val="00840964"/>
    <w:rsid w:val="00841C62"/>
    <w:rsid w:val="00842D4F"/>
    <w:rsid w:val="00843485"/>
    <w:rsid w:val="00843BC5"/>
    <w:rsid w:val="008455A9"/>
    <w:rsid w:val="00845F6B"/>
    <w:rsid w:val="00846308"/>
    <w:rsid w:val="0084675C"/>
    <w:rsid w:val="00846931"/>
    <w:rsid w:val="0085374C"/>
    <w:rsid w:val="00855E6F"/>
    <w:rsid w:val="00856280"/>
    <w:rsid w:val="00856FF4"/>
    <w:rsid w:val="008617E9"/>
    <w:rsid w:val="0086303E"/>
    <w:rsid w:val="008667DC"/>
    <w:rsid w:val="00866824"/>
    <w:rsid w:val="00870524"/>
    <w:rsid w:val="0087215C"/>
    <w:rsid w:val="0087645F"/>
    <w:rsid w:val="00876516"/>
    <w:rsid w:val="008771BD"/>
    <w:rsid w:val="008777DE"/>
    <w:rsid w:val="00880780"/>
    <w:rsid w:val="0088095D"/>
    <w:rsid w:val="00881521"/>
    <w:rsid w:val="00883A93"/>
    <w:rsid w:val="00884FF0"/>
    <w:rsid w:val="00890661"/>
    <w:rsid w:val="00891995"/>
    <w:rsid w:val="008923E2"/>
    <w:rsid w:val="008946DA"/>
    <w:rsid w:val="00895F5D"/>
    <w:rsid w:val="00896AB3"/>
    <w:rsid w:val="008A1B12"/>
    <w:rsid w:val="008A2AC6"/>
    <w:rsid w:val="008A2FF8"/>
    <w:rsid w:val="008A48DC"/>
    <w:rsid w:val="008A7DCD"/>
    <w:rsid w:val="008B17A3"/>
    <w:rsid w:val="008B360E"/>
    <w:rsid w:val="008B41BE"/>
    <w:rsid w:val="008B4D78"/>
    <w:rsid w:val="008B572A"/>
    <w:rsid w:val="008C2FB7"/>
    <w:rsid w:val="008C47A7"/>
    <w:rsid w:val="008C4F56"/>
    <w:rsid w:val="008C7887"/>
    <w:rsid w:val="008D332E"/>
    <w:rsid w:val="008D65D9"/>
    <w:rsid w:val="008D71B0"/>
    <w:rsid w:val="008E15D9"/>
    <w:rsid w:val="008E261A"/>
    <w:rsid w:val="008E5780"/>
    <w:rsid w:val="008E702A"/>
    <w:rsid w:val="008F00D2"/>
    <w:rsid w:val="008F0E92"/>
    <w:rsid w:val="008F3FDE"/>
    <w:rsid w:val="008F4900"/>
    <w:rsid w:val="008F6E9B"/>
    <w:rsid w:val="009010DD"/>
    <w:rsid w:val="009035F2"/>
    <w:rsid w:val="00904359"/>
    <w:rsid w:val="009054C8"/>
    <w:rsid w:val="0090551D"/>
    <w:rsid w:val="0090607D"/>
    <w:rsid w:val="00906FE5"/>
    <w:rsid w:val="00907117"/>
    <w:rsid w:val="0090781C"/>
    <w:rsid w:val="00911FA8"/>
    <w:rsid w:val="00912FBB"/>
    <w:rsid w:val="00913361"/>
    <w:rsid w:val="009158D1"/>
    <w:rsid w:val="00916FC2"/>
    <w:rsid w:val="009171D3"/>
    <w:rsid w:val="009225DD"/>
    <w:rsid w:val="009238F2"/>
    <w:rsid w:val="009240D9"/>
    <w:rsid w:val="009243DF"/>
    <w:rsid w:val="0092653A"/>
    <w:rsid w:val="00926740"/>
    <w:rsid w:val="0093112D"/>
    <w:rsid w:val="0093161C"/>
    <w:rsid w:val="009328AF"/>
    <w:rsid w:val="00932A92"/>
    <w:rsid w:val="00935475"/>
    <w:rsid w:val="00935EBC"/>
    <w:rsid w:val="00936260"/>
    <w:rsid w:val="00940A25"/>
    <w:rsid w:val="00940CA6"/>
    <w:rsid w:val="00945FC3"/>
    <w:rsid w:val="00947695"/>
    <w:rsid w:val="0095039D"/>
    <w:rsid w:val="00951DE2"/>
    <w:rsid w:val="0095224A"/>
    <w:rsid w:val="00952CA0"/>
    <w:rsid w:val="0095455A"/>
    <w:rsid w:val="00955177"/>
    <w:rsid w:val="00960832"/>
    <w:rsid w:val="00974926"/>
    <w:rsid w:val="00974B8C"/>
    <w:rsid w:val="00976B94"/>
    <w:rsid w:val="00977AB0"/>
    <w:rsid w:val="0098437B"/>
    <w:rsid w:val="009869D2"/>
    <w:rsid w:val="00993180"/>
    <w:rsid w:val="009949B3"/>
    <w:rsid w:val="009A0E12"/>
    <w:rsid w:val="009A2440"/>
    <w:rsid w:val="009A291A"/>
    <w:rsid w:val="009A4A63"/>
    <w:rsid w:val="009A4BEE"/>
    <w:rsid w:val="009A5DB1"/>
    <w:rsid w:val="009A652B"/>
    <w:rsid w:val="009A6E17"/>
    <w:rsid w:val="009A7794"/>
    <w:rsid w:val="009B51B9"/>
    <w:rsid w:val="009B54DE"/>
    <w:rsid w:val="009B792F"/>
    <w:rsid w:val="009B7D8F"/>
    <w:rsid w:val="009C2AE7"/>
    <w:rsid w:val="009C68CD"/>
    <w:rsid w:val="009C6BA1"/>
    <w:rsid w:val="009C7595"/>
    <w:rsid w:val="009C7EC9"/>
    <w:rsid w:val="009D169A"/>
    <w:rsid w:val="009D24E0"/>
    <w:rsid w:val="009D35AC"/>
    <w:rsid w:val="009D387B"/>
    <w:rsid w:val="009D3B73"/>
    <w:rsid w:val="009D4478"/>
    <w:rsid w:val="009E2FEA"/>
    <w:rsid w:val="009E5247"/>
    <w:rsid w:val="009F1AD3"/>
    <w:rsid w:val="009F2731"/>
    <w:rsid w:val="009F2784"/>
    <w:rsid w:val="009F2A62"/>
    <w:rsid w:val="009F2DDE"/>
    <w:rsid w:val="009F41FF"/>
    <w:rsid w:val="009F48CC"/>
    <w:rsid w:val="009F4B59"/>
    <w:rsid w:val="009F6698"/>
    <w:rsid w:val="00A00799"/>
    <w:rsid w:val="00A00957"/>
    <w:rsid w:val="00A03497"/>
    <w:rsid w:val="00A04891"/>
    <w:rsid w:val="00A04D4B"/>
    <w:rsid w:val="00A053B2"/>
    <w:rsid w:val="00A10E7D"/>
    <w:rsid w:val="00A11AB4"/>
    <w:rsid w:val="00A13266"/>
    <w:rsid w:val="00A167CC"/>
    <w:rsid w:val="00A21099"/>
    <w:rsid w:val="00A2488A"/>
    <w:rsid w:val="00A254ED"/>
    <w:rsid w:val="00A25765"/>
    <w:rsid w:val="00A26200"/>
    <w:rsid w:val="00A26968"/>
    <w:rsid w:val="00A27F6C"/>
    <w:rsid w:val="00A30FA8"/>
    <w:rsid w:val="00A32B1C"/>
    <w:rsid w:val="00A34466"/>
    <w:rsid w:val="00A3569E"/>
    <w:rsid w:val="00A41A63"/>
    <w:rsid w:val="00A46480"/>
    <w:rsid w:val="00A469D5"/>
    <w:rsid w:val="00A46EFC"/>
    <w:rsid w:val="00A50480"/>
    <w:rsid w:val="00A52B7A"/>
    <w:rsid w:val="00A54A55"/>
    <w:rsid w:val="00A555A9"/>
    <w:rsid w:val="00A55C0C"/>
    <w:rsid w:val="00A56C3A"/>
    <w:rsid w:val="00A57C48"/>
    <w:rsid w:val="00A6259B"/>
    <w:rsid w:val="00A66396"/>
    <w:rsid w:val="00A66D61"/>
    <w:rsid w:val="00A676E5"/>
    <w:rsid w:val="00A74A9B"/>
    <w:rsid w:val="00A75264"/>
    <w:rsid w:val="00A772D8"/>
    <w:rsid w:val="00A83B7A"/>
    <w:rsid w:val="00A847E4"/>
    <w:rsid w:val="00A87003"/>
    <w:rsid w:val="00A87BFF"/>
    <w:rsid w:val="00A90012"/>
    <w:rsid w:val="00AA0475"/>
    <w:rsid w:val="00AA1BBC"/>
    <w:rsid w:val="00AA274E"/>
    <w:rsid w:val="00AA3625"/>
    <w:rsid w:val="00AA36AB"/>
    <w:rsid w:val="00AA6694"/>
    <w:rsid w:val="00AA69F6"/>
    <w:rsid w:val="00AB021C"/>
    <w:rsid w:val="00AB0E2A"/>
    <w:rsid w:val="00AB2191"/>
    <w:rsid w:val="00AB2BBD"/>
    <w:rsid w:val="00AB3131"/>
    <w:rsid w:val="00AB7451"/>
    <w:rsid w:val="00AB74B0"/>
    <w:rsid w:val="00AC17CA"/>
    <w:rsid w:val="00AC30C2"/>
    <w:rsid w:val="00AC3E34"/>
    <w:rsid w:val="00AC49A0"/>
    <w:rsid w:val="00AC4A15"/>
    <w:rsid w:val="00AC5173"/>
    <w:rsid w:val="00AC5732"/>
    <w:rsid w:val="00AC5EF4"/>
    <w:rsid w:val="00AC6BDD"/>
    <w:rsid w:val="00AC6D21"/>
    <w:rsid w:val="00AD0903"/>
    <w:rsid w:val="00AD0AD0"/>
    <w:rsid w:val="00AD113C"/>
    <w:rsid w:val="00AD1E8C"/>
    <w:rsid w:val="00AD2D29"/>
    <w:rsid w:val="00AD3B2F"/>
    <w:rsid w:val="00AD5511"/>
    <w:rsid w:val="00AD593B"/>
    <w:rsid w:val="00AE0843"/>
    <w:rsid w:val="00AE156C"/>
    <w:rsid w:val="00AE2796"/>
    <w:rsid w:val="00AE3101"/>
    <w:rsid w:val="00AE6C55"/>
    <w:rsid w:val="00AE6FDB"/>
    <w:rsid w:val="00AF0766"/>
    <w:rsid w:val="00AF2D03"/>
    <w:rsid w:val="00AF5365"/>
    <w:rsid w:val="00AF7F76"/>
    <w:rsid w:val="00B01E2E"/>
    <w:rsid w:val="00B02CA0"/>
    <w:rsid w:val="00B02F18"/>
    <w:rsid w:val="00B0342F"/>
    <w:rsid w:val="00B10A4C"/>
    <w:rsid w:val="00B13784"/>
    <w:rsid w:val="00B14626"/>
    <w:rsid w:val="00B14869"/>
    <w:rsid w:val="00B14AF1"/>
    <w:rsid w:val="00B15293"/>
    <w:rsid w:val="00B16859"/>
    <w:rsid w:val="00B211D0"/>
    <w:rsid w:val="00B216BE"/>
    <w:rsid w:val="00B22B25"/>
    <w:rsid w:val="00B23CB1"/>
    <w:rsid w:val="00B25264"/>
    <w:rsid w:val="00B2542F"/>
    <w:rsid w:val="00B3013A"/>
    <w:rsid w:val="00B3014C"/>
    <w:rsid w:val="00B306C8"/>
    <w:rsid w:val="00B31BFB"/>
    <w:rsid w:val="00B338BE"/>
    <w:rsid w:val="00B35DE5"/>
    <w:rsid w:val="00B364D8"/>
    <w:rsid w:val="00B37632"/>
    <w:rsid w:val="00B43A4A"/>
    <w:rsid w:val="00B44555"/>
    <w:rsid w:val="00B51C1F"/>
    <w:rsid w:val="00B52729"/>
    <w:rsid w:val="00B538C2"/>
    <w:rsid w:val="00B638CB"/>
    <w:rsid w:val="00B64D93"/>
    <w:rsid w:val="00B6528C"/>
    <w:rsid w:val="00B652AA"/>
    <w:rsid w:val="00B7139A"/>
    <w:rsid w:val="00B7319D"/>
    <w:rsid w:val="00B755FC"/>
    <w:rsid w:val="00B779D0"/>
    <w:rsid w:val="00B801AF"/>
    <w:rsid w:val="00B82A3E"/>
    <w:rsid w:val="00B8310F"/>
    <w:rsid w:val="00B835A9"/>
    <w:rsid w:val="00B84B46"/>
    <w:rsid w:val="00B85973"/>
    <w:rsid w:val="00B869A7"/>
    <w:rsid w:val="00B86E2B"/>
    <w:rsid w:val="00B92180"/>
    <w:rsid w:val="00B94704"/>
    <w:rsid w:val="00B96968"/>
    <w:rsid w:val="00BA07F0"/>
    <w:rsid w:val="00BA4DCD"/>
    <w:rsid w:val="00BA7A3B"/>
    <w:rsid w:val="00BB175D"/>
    <w:rsid w:val="00BC3DC1"/>
    <w:rsid w:val="00BC5B6A"/>
    <w:rsid w:val="00BC7272"/>
    <w:rsid w:val="00BC79E6"/>
    <w:rsid w:val="00BD064C"/>
    <w:rsid w:val="00BD1576"/>
    <w:rsid w:val="00BD1AD0"/>
    <w:rsid w:val="00BD2520"/>
    <w:rsid w:val="00BD4840"/>
    <w:rsid w:val="00BD532D"/>
    <w:rsid w:val="00BD6D28"/>
    <w:rsid w:val="00BD7327"/>
    <w:rsid w:val="00BE0F8A"/>
    <w:rsid w:val="00BE1C3A"/>
    <w:rsid w:val="00BE28F0"/>
    <w:rsid w:val="00BE31C8"/>
    <w:rsid w:val="00BE380D"/>
    <w:rsid w:val="00BF1DC2"/>
    <w:rsid w:val="00BF1FE3"/>
    <w:rsid w:val="00BF308F"/>
    <w:rsid w:val="00BF5F99"/>
    <w:rsid w:val="00BF785D"/>
    <w:rsid w:val="00BF796F"/>
    <w:rsid w:val="00C019CB"/>
    <w:rsid w:val="00C02D64"/>
    <w:rsid w:val="00C036B7"/>
    <w:rsid w:val="00C0370E"/>
    <w:rsid w:val="00C04CF8"/>
    <w:rsid w:val="00C05498"/>
    <w:rsid w:val="00C112F6"/>
    <w:rsid w:val="00C140C9"/>
    <w:rsid w:val="00C14843"/>
    <w:rsid w:val="00C14E09"/>
    <w:rsid w:val="00C16BD9"/>
    <w:rsid w:val="00C16EF2"/>
    <w:rsid w:val="00C20183"/>
    <w:rsid w:val="00C211A4"/>
    <w:rsid w:val="00C21E67"/>
    <w:rsid w:val="00C24167"/>
    <w:rsid w:val="00C27331"/>
    <w:rsid w:val="00C27727"/>
    <w:rsid w:val="00C31B54"/>
    <w:rsid w:val="00C33F0C"/>
    <w:rsid w:val="00C3794C"/>
    <w:rsid w:val="00C40BAF"/>
    <w:rsid w:val="00C41343"/>
    <w:rsid w:val="00C41781"/>
    <w:rsid w:val="00C41FEB"/>
    <w:rsid w:val="00C42EC5"/>
    <w:rsid w:val="00C44E77"/>
    <w:rsid w:val="00C45F37"/>
    <w:rsid w:val="00C47F03"/>
    <w:rsid w:val="00C54676"/>
    <w:rsid w:val="00C54760"/>
    <w:rsid w:val="00C54A6C"/>
    <w:rsid w:val="00C561E5"/>
    <w:rsid w:val="00C60394"/>
    <w:rsid w:val="00C61FE8"/>
    <w:rsid w:val="00C64E80"/>
    <w:rsid w:val="00C64FFB"/>
    <w:rsid w:val="00C659AC"/>
    <w:rsid w:val="00C66CC3"/>
    <w:rsid w:val="00C6759C"/>
    <w:rsid w:val="00C70035"/>
    <w:rsid w:val="00C700F9"/>
    <w:rsid w:val="00C705B7"/>
    <w:rsid w:val="00C72464"/>
    <w:rsid w:val="00C754AC"/>
    <w:rsid w:val="00C765CF"/>
    <w:rsid w:val="00C77B76"/>
    <w:rsid w:val="00C77C4E"/>
    <w:rsid w:val="00C80229"/>
    <w:rsid w:val="00C808CF"/>
    <w:rsid w:val="00C80AFF"/>
    <w:rsid w:val="00C84CB5"/>
    <w:rsid w:val="00C86127"/>
    <w:rsid w:val="00C87571"/>
    <w:rsid w:val="00C879C5"/>
    <w:rsid w:val="00C910A5"/>
    <w:rsid w:val="00C9486E"/>
    <w:rsid w:val="00C94899"/>
    <w:rsid w:val="00C96771"/>
    <w:rsid w:val="00C96AC6"/>
    <w:rsid w:val="00C96D1C"/>
    <w:rsid w:val="00C97AFF"/>
    <w:rsid w:val="00CA78C0"/>
    <w:rsid w:val="00CB2A6C"/>
    <w:rsid w:val="00CB2D5D"/>
    <w:rsid w:val="00CB2ECC"/>
    <w:rsid w:val="00CB385C"/>
    <w:rsid w:val="00CB73C8"/>
    <w:rsid w:val="00CB78F2"/>
    <w:rsid w:val="00CB7C12"/>
    <w:rsid w:val="00CC18CE"/>
    <w:rsid w:val="00CC32DB"/>
    <w:rsid w:val="00CC36F4"/>
    <w:rsid w:val="00CC3B28"/>
    <w:rsid w:val="00CC7E54"/>
    <w:rsid w:val="00CD07FE"/>
    <w:rsid w:val="00CD09EA"/>
    <w:rsid w:val="00CD3F16"/>
    <w:rsid w:val="00CD4F23"/>
    <w:rsid w:val="00CD553B"/>
    <w:rsid w:val="00CD5645"/>
    <w:rsid w:val="00CD63FD"/>
    <w:rsid w:val="00CD65CE"/>
    <w:rsid w:val="00CE05BE"/>
    <w:rsid w:val="00CE2B36"/>
    <w:rsid w:val="00CE312B"/>
    <w:rsid w:val="00CE5CBD"/>
    <w:rsid w:val="00CE697E"/>
    <w:rsid w:val="00CF099C"/>
    <w:rsid w:val="00CF4C92"/>
    <w:rsid w:val="00D05242"/>
    <w:rsid w:val="00D058DB"/>
    <w:rsid w:val="00D07D30"/>
    <w:rsid w:val="00D12216"/>
    <w:rsid w:val="00D207DD"/>
    <w:rsid w:val="00D20F46"/>
    <w:rsid w:val="00D21428"/>
    <w:rsid w:val="00D26E4F"/>
    <w:rsid w:val="00D30D8F"/>
    <w:rsid w:val="00D315D8"/>
    <w:rsid w:val="00D3179D"/>
    <w:rsid w:val="00D33B56"/>
    <w:rsid w:val="00D35C09"/>
    <w:rsid w:val="00D377F2"/>
    <w:rsid w:val="00D40E21"/>
    <w:rsid w:val="00D412F0"/>
    <w:rsid w:val="00D41FA1"/>
    <w:rsid w:val="00D43684"/>
    <w:rsid w:val="00D4709A"/>
    <w:rsid w:val="00D5019E"/>
    <w:rsid w:val="00D51547"/>
    <w:rsid w:val="00D51B56"/>
    <w:rsid w:val="00D5628E"/>
    <w:rsid w:val="00D569ED"/>
    <w:rsid w:val="00D56C7A"/>
    <w:rsid w:val="00D57663"/>
    <w:rsid w:val="00D64B7F"/>
    <w:rsid w:val="00D74CF6"/>
    <w:rsid w:val="00D753F5"/>
    <w:rsid w:val="00D75938"/>
    <w:rsid w:val="00D7771E"/>
    <w:rsid w:val="00D83A44"/>
    <w:rsid w:val="00D84719"/>
    <w:rsid w:val="00D86A13"/>
    <w:rsid w:val="00D92015"/>
    <w:rsid w:val="00D95691"/>
    <w:rsid w:val="00DA16BE"/>
    <w:rsid w:val="00DA1EF2"/>
    <w:rsid w:val="00DA4180"/>
    <w:rsid w:val="00DB088E"/>
    <w:rsid w:val="00DB3515"/>
    <w:rsid w:val="00DB5CDC"/>
    <w:rsid w:val="00DB7F57"/>
    <w:rsid w:val="00DC0198"/>
    <w:rsid w:val="00DC05C9"/>
    <w:rsid w:val="00DC2F82"/>
    <w:rsid w:val="00DC6635"/>
    <w:rsid w:val="00DC6EBB"/>
    <w:rsid w:val="00DD0AAE"/>
    <w:rsid w:val="00DD2F44"/>
    <w:rsid w:val="00DD3004"/>
    <w:rsid w:val="00DD6435"/>
    <w:rsid w:val="00DD7166"/>
    <w:rsid w:val="00DE075C"/>
    <w:rsid w:val="00DE2CA1"/>
    <w:rsid w:val="00DE2FF2"/>
    <w:rsid w:val="00DE4313"/>
    <w:rsid w:val="00DE436E"/>
    <w:rsid w:val="00DE4451"/>
    <w:rsid w:val="00DE4D95"/>
    <w:rsid w:val="00DE528C"/>
    <w:rsid w:val="00DE735C"/>
    <w:rsid w:val="00DE765C"/>
    <w:rsid w:val="00DF51C3"/>
    <w:rsid w:val="00DF55BD"/>
    <w:rsid w:val="00DF6740"/>
    <w:rsid w:val="00DF6902"/>
    <w:rsid w:val="00E034D2"/>
    <w:rsid w:val="00E0377D"/>
    <w:rsid w:val="00E03E92"/>
    <w:rsid w:val="00E05D14"/>
    <w:rsid w:val="00E06D50"/>
    <w:rsid w:val="00E06DE5"/>
    <w:rsid w:val="00E11562"/>
    <w:rsid w:val="00E11A60"/>
    <w:rsid w:val="00E11EC9"/>
    <w:rsid w:val="00E14AC4"/>
    <w:rsid w:val="00E15816"/>
    <w:rsid w:val="00E15A66"/>
    <w:rsid w:val="00E16096"/>
    <w:rsid w:val="00E16E40"/>
    <w:rsid w:val="00E24CA7"/>
    <w:rsid w:val="00E27DA3"/>
    <w:rsid w:val="00E3017F"/>
    <w:rsid w:val="00E3045E"/>
    <w:rsid w:val="00E30514"/>
    <w:rsid w:val="00E33655"/>
    <w:rsid w:val="00E42437"/>
    <w:rsid w:val="00E459DD"/>
    <w:rsid w:val="00E47431"/>
    <w:rsid w:val="00E47853"/>
    <w:rsid w:val="00E50B04"/>
    <w:rsid w:val="00E50CE1"/>
    <w:rsid w:val="00E51B56"/>
    <w:rsid w:val="00E522EA"/>
    <w:rsid w:val="00E543EC"/>
    <w:rsid w:val="00E5537D"/>
    <w:rsid w:val="00E55511"/>
    <w:rsid w:val="00E57506"/>
    <w:rsid w:val="00E60A45"/>
    <w:rsid w:val="00E60DEB"/>
    <w:rsid w:val="00E61345"/>
    <w:rsid w:val="00E619D7"/>
    <w:rsid w:val="00E632A8"/>
    <w:rsid w:val="00E7282E"/>
    <w:rsid w:val="00E72E9D"/>
    <w:rsid w:val="00E75634"/>
    <w:rsid w:val="00E77295"/>
    <w:rsid w:val="00E77F95"/>
    <w:rsid w:val="00E8035A"/>
    <w:rsid w:val="00E81F76"/>
    <w:rsid w:val="00E821A9"/>
    <w:rsid w:val="00E825DC"/>
    <w:rsid w:val="00E82EC5"/>
    <w:rsid w:val="00E831E7"/>
    <w:rsid w:val="00E8431B"/>
    <w:rsid w:val="00E850E3"/>
    <w:rsid w:val="00E91438"/>
    <w:rsid w:val="00E95C36"/>
    <w:rsid w:val="00E9656D"/>
    <w:rsid w:val="00EA328C"/>
    <w:rsid w:val="00EA3B52"/>
    <w:rsid w:val="00EA4766"/>
    <w:rsid w:val="00EA52C2"/>
    <w:rsid w:val="00EA71D4"/>
    <w:rsid w:val="00EB1683"/>
    <w:rsid w:val="00EB4D70"/>
    <w:rsid w:val="00EC4EBE"/>
    <w:rsid w:val="00EC60BE"/>
    <w:rsid w:val="00ED0312"/>
    <w:rsid w:val="00ED0F2E"/>
    <w:rsid w:val="00ED1A1A"/>
    <w:rsid w:val="00ED3385"/>
    <w:rsid w:val="00ED39A1"/>
    <w:rsid w:val="00ED5FCB"/>
    <w:rsid w:val="00EE0C5F"/>
    <w:rsid w:val="00EE13E9"/>
    <w:rsid w:val="00EE2D41"/>
    <w:rsid w:val="00EE3B88"/>
    <w:rsid w:val="00EE50A0"/>
    <w:rsid w:val="00EE65C3"/>
    <w:rsid w:val="00EF4DF7"/>
    <w:rsid w:val="00EF589F"/>
    <w:rsid w:val="00EF64BD"/>
    <w:rsid w:val="00EF6FE2"/>
    <w:rsid w:val="00EF7F15"/>
    <w:rsid w:val="00EF7FEF"/>
    <w:rsid w:val="00F02CB4"/>
    <w:rsid w:val="00F04F94"/>
    <w:rsid w:val="00F10BBF"/>
    <w:rsid w:val="00F124DC"/>
    <w:rsid w:val="00F14440"/>
    <w:rsid w:val="00F20796"/>
    <w:rsid w:val="00F22527"/>
    <w:rsid w:val="00F2414C"/>
    <w:rsid w:val="00F254AF"/>
    <w:rsid w:val="00F47CC1"/>
    <w:rsid w:val="00F528CB"/>
    <w:rsid w:val="00F54A3F"/>
    <w:rsid w:val="00F6587B"/>
    <w:rsid w:val="00F65A7E"/>
    <w:rsid w:val="00F66522"/>
    <w:rsid w:val="00F67084"/>
    <w:rsid w:val="00F67602"/>
    <w:rsid w:val="00F72767"/>
    <w:rsid w:val="00F74AB1"/>
    <w:rsid w:val="00F759C4"/>
    <w:rsid w:val="00F75D96"/>
    <w:rsid w:val="00F80D5D"/>
    <w:rsid w:val="00F810CF"/>
    <w:rsid w:val="00F81620"/>
    <w:rsid w:val="00F81B7B"/>
    <w:rsid w:val="00F82F07"/>
    <w:rsid w:val="00F843AC"/>
    <w:rsid w:val="00F851E6"/>
    <w:rsid w:val="00F85A52"/>
    <w:rsid w:val="00F869F8"/>
    <w:rsid w:val="00F94773"/>
    <w:rsid w:val="00F9526A"/>
    <w:rsid w:val="00F959FE"/>
    <w:rsid w:val="00FA2CD9"/>
    <w:rsid w:val="00FA6E0C"/>
    <w:rsid w:val="00FA782D"/>
    <w:rsid w:val="00FB14FA"/>
    <w:rsid w:val="00FB16BA"/>
    <w:rsid w:val="00FB1E33"/>
    <w:rsid w:val="00FB3034"/>
    <w:rsid w:val="00FB49CB"/>
    <w:rsid w:val="00FB5086"/>
    <w:rsid w:val="00FB5DE0"/>
    <w:rsid w:val="00FB5ED7"/>
    <w:rsid w:val="00FB6694"/>
    <w:rsid w:val="00FC0A42"/>
    <w:rsid w:val="00FC0DC4"/>
    <w:rsid w:val="00FC1C70"/>
    <w:rsid w:val="00FC1DF2"/>
    <w:rsid w:val="00FC48AC"/>
    <w:rsid w:val="00FD0DF8"/>
    <w:rsid w:val="00FD3CBB"/>
    <w:rsid w:val="00FD5644"/>
    <w:rsid w:val="00FD71B1"/>
    <w:rsid w:val="00FD75D3"/>
    <w:rsid w:val="00FE0845"/>
    <w:rsid w:val="00FE159B"/>
    <w:rsid w:val="00FE33FA"/>
    <w:rsid w:val="00FE40D9"/>
    <w:rsid w:val="00FE4767"/>
    <w:rsid w:val="00FE57F4"/>
    <w:rsid w:val="00FE5BB4"/>
    <w:rsid w:val="00FF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C0FA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B835A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387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876DD"/>
    <w:rPr>
      <w:rFonts w:ascii="Tahoma" w:hAnsi="Tahoma" w:cs="Tahoma"/>
      <w:sz w:val="16"/>
      <w:szCs w:val="16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54536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45362"/>
  </w:style>
  <w:style w:type="character" w:styleId="Rimandonotaapidipagina">
    <w:name w:val="footnote reference"/>
    <w:rsid w:val="00545362"/>
    <w:rPr>
      <w:vertAlign w:val="superscript"/>
    </w:rPr>
  </w:style>
  <w:style w:type="paragraph" w:styleId="Intestazione">
    <w:name w:val="header"/>
    <w:basedOn w:val="Normale"/>
    <w:link w:val="IntestazioneCarattere"/>
    <w:rsid w:val="00932A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32A9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32A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32A92"/>
    <w:rPr>
      <w:sz w:val="24"/>
      <w:szCs w:val="24"/>
    </w:rPr>
  </w:style>
  <w:style w:type="table" w:styleId="Grigliatabella">
    <w:name w:val="Table Grid"/>
    <w:basedOn w:val="Tabellanormale"/>
    <w:rsid w:val="00811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vnumero">
    <w:name w:val="tavnumero"/>
    <w:basedOn w:val="Normale"/>
    <w:next w:val="Normale"/>
    <w:rsid w:val="00301F6E"/>
    <w:pPr>
      <w:spacing w:before="240"/>
      <w:jc w:val="right"/>
    </w:pPr>
    <w:rPr>
      <w:rFonts w:ascii="Arial" w:hAnsi="Arial"/>
      <w:b/>
      <w:color w:val="00547A"/>
      <w:sz w:val="16"/>
      <w:lang w:eastAsia="en-GB"/>
    </w:rPr>
  </w:style>
  <w:style w:type="character" w:styleId="Collegamentoipertestuale">
    <w:name w:val="Hyperlink"/>
    <w:uiPriority w:val="99"/>
    <w:unhideWhenUsed/>
    <w:rsid w:val="006C59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C0FA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B835A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387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876DD"/>
    <w:rPr>
      <w:rFonts w:ascii="Tahoma" w:hAnsi="Tahoma" w:cs="Tahoma"/>
      <w:sz w:val="16"/>
      <w:szCs w:val="16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54536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45362"/>
  </w:style>
  <w:style w:type="character" w:styleId="Rimandonotaapidipagina">
    <w:name w:val="footnote reference"/>
    <w:rsid w:val="00545362"/>
    <w:rPr>
      <w:vertAlign w:val="superscript"/>
    </w:rPr>
  </w:style>
  <w:style w:type="paragraph" w:styleId="Intestazione">
    <w:name w:val="header"/>
    <w:basedOn w:val="Normale"/>
    <w:link w:val="IntestazioneCarattere"/>
    <w:rsid w:val="00932A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32A9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32A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32A92"/>
    <w:rPr>
      <w:sz w:val="24"/>
      <w:szCs w:val="24"/>
    </w:rPr>
  </w:style>
  <w:style w:type="table" w:styleId="Grigliatabella">
    <w:name w:val="Table Grid"/>
    <w:basedOn w:val="Tabellanormale"/>
    <w:rsid w:val="00811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vnumero">
    <w:name w:val="tavnumero"/>
    <w:basedOn w:val="Normale"/>
    <w:next w:val="Normale"/>
    <w:rsid w:val="00301F6E"/>
    <w:pPr>
      <w:spacing w:before="240"/>
      <w:jc w:val="right"/>
    </w:pPr>
    <w:rPr>
      <w:rFonts w:ascii="Arial" w:hAnsi="Arial"/>
      <w:b/>
      <w:color w:val="00547A"/>
      <w:sz w:val="16"/>
      <w:lang w:eastAsia="en-GB"/>
    </w:rPr>
  </w:style>
  <w:style w:type="character" w:styleId="Collegamentoipertestuale">
    <w:name w:val="Hyperlink"/>
    <w:uiPriority w:val="99"/>
    <w:unhideWhenUsed/>
    <w:rsid w:val="006C5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72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9A7E-8453-4BC3-BF95-1CEBD98A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AZIENDE DI CREDITO</vt:lpstr>
    </vt:vector>
  </TitlesOfParts>
  <Company>Banca d'Italia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AZIENDE DI CREDITO</dc:title>
  <dc:creator>l338510</dc:creator>
  <cp:lastModifiedBy>Francesco Vercelli</cp:lastModifiedBy>
  <cp:revision>4</cp:revision>
  <cp:lastPrinted>2013-02-14T09:46:00Z</cp:lastPrinted>
  <dcterms:created xsi:type="dcterms:W3CDTF">2016-10-17T07:49:00Z</dcterms:created>
  <dcterms:modified xsi:type="dcterms:W3CDTF">2016-11-17T15:36:00Z</dcterms:modified>
</cp:coreProperties>
</file>