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91" w:rsidRPr="00235346" w:rsidRDefault="00610193" w:rsidP="00B96BCC">
      <w:pPr>
        <w:spacing w:before="53"/>
        <w:jc w:val="center"/>
        <w:rPr>
          <w:rFonts w:ascii="Arial" w:hAnsi="Arial" w:cs="Arial"/>
          <w:highlight w:val="lightGray"/>
        </w:rPr>
      </w:pPr>
      <w:bookmarkStart w:id="0" w:name="_GoBack"/>
      <w:bookmarkEnd w:id="0"/>
      <w:r w:rsidRPr="00235346">
        <w:rPr>
          <w:rFonts w:ascii="Arial" w:hAnsi="Arial"/>
          <w:color w:val="FFFFFF"/>
          <w:sz w:val="48"/>
        </w:rPr>
        <w:t>Business opinion indicators</w:t>
      </w:r>
    </w:p>
    <w:p w:rsidR="00773EB1" w:rsidRPr="00235346" w:rsidRDefault="00773EB1" w:rsidP="00773EB1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color w:val="000000" w:themeColor="text1"/>
          <w:szCs w:val="20"/>
        </w:rPr>
      </w:pPr>
      <w:r w:rsidRPr="00235346">
        <w:rPr>
          <w:rFonts w:ascii="Arial" w:hAnsi="Arial"/>
          <w:b/>
          <w:color w:val="000000" w:themeColor="text1"/>
        </w:rPr>
        <w:t xml:space="preserve">Table A1 </w:t>
      </w:r>
    </w:p>
    <w:p w:rsidR="00773EB1" w:rsidRPr="00235346" w:rsidRDefault="00773EB1" w:rsidP="00773EB1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</w:rPr>
      </w:pPr>
      <w:r w:rsidRPr="00235346">
        <w:rPr>
          <w:rFonts w:ascii="Arial" w:hAnsi="Arial"/>
          <w:b/>
          <w:color w:val="000000" w:themeColor="text1"/>
        </w:rPr>
        <w:t>Distribution of the sample and the population</w:t>
      </w:r>
    </w:p>
    <w:p w:rsidR="00773EB1" w:rsidRPr="00235346" w:rsidRDefault="00773EB1" w:rsidP="00773EB1">
      <w:pPr>
        <w:pStyle w:val="Rientrocorpodeltesto"/>
        <w:jc w:val="center"/>
        <w:rPr>
          <w:rFonts w:ascii="Arial" w:hAnsi="Arial" w:cs="Arial"/>
          <w:i/>
          <w:color w:val="000000" w:themeColor="text1"/>
        </w:rPr>
      </w:pPr>
      <w:r w:rsidRPr="00235346">
        <w:rPr>
          <w:rFonts w:ascii="Arial" w:hAnsi="Arial"/>
          <w:i/>
          <w:color w:val="000000" w:themeColor="text1"/>
        </w:rPr>
        <w:t>(number and per cent; reference quarter: October-December 2016)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364975" w:rsidRPr="00235346" w:rsidTr="00385652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773EB1" w:rsidRPr="00235346" w:rsidRDefault="00773EB1" w:rsidP="00385652">
            <w:pPr>
              <w:rPr>
                <w:rFonts w:ascii="Arial" w:hAnsi="Arial" w:cs="Arial"/>
                <w:color w:val="000000" w:themeColor="text1"/>
              </w:rPr>
            </w:pPr>
            <w:r w:rsidRPr="00235346">
              <w:rPr>
                <w:rFonts w:ascii="Arial" w:hAnsi="Arial"/>
                <w:color w:val="000000" w:themeColor="text1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Agents in sample</w:t>
            </w:r>
          </w:p>
          <w:p w:rsidR="00773EB1" w:rsidRPr="00235346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(a)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 xml:space="preserve">Population of agents (1) </w:t>
            </w:r>
          </w:p>
          <w:p w:rsidR="00773EB1" w:rsidRPr="00235346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Sampling fraction (a)/(b)</w:t>
            </w:r>
          </w:p>
          <w:p w:rsidR="00773EB1" w:rsidRPr="00AB6F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F2926">
              <w:rPr>
                <w:rFonts w:ascii="Arial" w:hAnsi="Arial"/>
                <w:color w:val="000000" w:themeColor="text1"/>
                <w:sz w:val="20"/>
              </w:rPr>
              <w:t>(per cent)</w:t>
            </w:r>
          </w:p>
        </w:tc>
      </w:tr>
      <w:tr w:rsidR="00364975" w:rsidRPr="00235346" w:rsidTr="00385652">
        <w:tc>
          <w:tcPr>
            <w:tcW w:w="51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235346" w:rsidRDefault="00773EB1" w:rsidP="00385652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235346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235346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73EB1" w:rsidRPr="00235346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440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11,067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4.0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A2C3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="00CA2C34">
              <w:rPr>
                <w:rFonts w:ascii="Arial" w:hAnsi="Arial"/>
                <w:i/>
                <w:color w:val="000000" w:themeColor="text1"/>
                <w:sz w:val="20"/>
              </w:rPr>
              <w:t xml:space="preserve"> </w:t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203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5,457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3.7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tab/>
            </w:r>
            <w:r w:rsidR="00CA2C34">
              <w:t xml:space="preserve">    </w:t>
            </w:r>
            <w:r w:rsidR="00AB6F75">
              <w:t xml:space="preserve">  </w:t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237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5,610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4.2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235346">
              <w:tab/>
            </w:r>
            <w:r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436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6,704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6.5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A2C3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="00CA2C34">
              <w:rPr>
                <w:rFonts w:ascii="Arial" w:hAnsi="Arial"/>
                <w:i/>
                <w:color w:val="000000" w:themeColor="text1"/>
                <w:sz w:val="20"/>
              </w:rPr>
              <w:t xml:space="preserve"> </w:t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108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1,501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7.2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tab/>
            </w:r>
            <w:r w:rsidR="00CA2C34">
              <w:t xml:space="preserve">    </w:t>
            </w:r>
            <w:r w:rsidR="00AB6F75">
              <w:t xml:space="preserve">  </w:t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328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5,203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6.3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4F1A7B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353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7,841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4.5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A2C3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="00CA2C34">
              <w:rPr>
                <w:rFonts w:ascii="Arial" w:hAnsi="Arial"/>
                <w:i/>
                <w:color w:val="000000" w:themeColor="text1"/>
                <w:sz w:val="20"/>
              </w:rPr>
              <w:t xml:space="preserve"> </w:t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132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3,587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3.7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tab/>
            </w:r>
            <w:r w:rsidR="00CA2C34">
              <w:t xml:space="preserve">    </w:t>
            </w:r>
            <w:r w:rsidR="00AB6F75">
              <w:t xml:space="preserve">  </w:t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221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4,254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5.2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278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5,115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5.4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A2C34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="00CA2C34">
              <w:rPr>
                <w:rFonts w:ascii="Arial" w:hAnsi="Arial"/>
                <w:i/>
                <w:color w:val="000000" w:themeColor="text1"/>
                <w:sz w:val="20"/>
              </w:rPr>
              <w:t xml:space="preserve"> </w:t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88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1,352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6.5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tab/>
            </w:r>
            <w:r w:rsidR="00CA2C34">
              <w:t xml:space="preserve">   </w:t>
            </w:r>
            <w:r w:rsidR="00AB6F75">
              <w:t xml:space="preserve">  </w:t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190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3,763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5.0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AB6F75" w:rsidP="00BE6E1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773EB1" w:rsidRPr="00235346">
              <w:rPr>
                <w:rFonts w:ascii="Arial" w:hAnsi="Arial"/>
                <w:color w:val="000000" w:themeColor="text1"/>
                <w:sz w:val="20"/>
              </w:rPr>
              <w:t>Urban areas (&gt;250,000 inhabitants) (2)</w:t>
            </w:r>
            <w:r w:rsidR="00773EB1"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531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11,897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4.5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AB6F75" w:rsidP="00BE6E1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773EB1" w:rsidRPr="00235346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="00773EB1"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976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18,830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5.2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AB6F75" w:rsidP="00BE6E1A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773EB1" w:rsidRPr="00235346">
              <w:rPr>
                <w:rFonts w:ascii="Arial" w:hAnsi="Arial"/>
                <w:color w:val="000000" w:themeColor="text1"/>
                <w:sz w:val="20"/>
              </w:rPr>
              <w:t>Metropolitan areas (&gt;500,000 inhabitants) (3)</w:t>
            </w:r>
            <w:r w:rsidR="00773EB1"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374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9,194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4.1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AB6F75" w:rsidP="00BE6E1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="00773EB1" w:rsidRPr="00235346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  <w:r w:rsidR="00773EB1"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1,133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21,533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5.3</w:t>
            </w:r>
          </w:p>
        </w:tc>
      </w:tr>
      <w:tr w:rsidR="00364975" w:rsidRPr="00235346" w:rsidTr="00385652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235346"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164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1,507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73EB1" w:rsidRPr="00235346" w:rsidRDefault="00773EB1" w:rsidP="00C932AA">
            <w:pPr>
              <w:ind w:right="1002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30,727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773EB1" w:rsidRPr="00235346" w:rsidRDefault="00773EB1" w:rsidP="003856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4.9</w:t>
            </w:r>
          </w:p>
        </w:tc>
      </w:tr>
      <w:tr w:rsidR="00364975" w:rsidRPr="00235346" w:rsidTr="00385652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773EB1" w:rsidRPr="00516D63" w:rsidRDefault="00773EB1" w:rsidP="00E038E3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(1) Istat-Asia (2014). The population comprises firms selling property on behalf of third parties (real estate agents). – (2) Areas with a resident population of over 250,000, including not only the administrative area of the main city or town but also the hinterland as identified by </w:t>
            </w:r>
            <w:proofErr w:type="spellStart"/>
            <w:r w:rsidR="00A57530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="00A57530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</w:t>
            </w:r>
            <w:r w:rsidR="004E062E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(</w:t>
            </w:r>
            <w:proofErr w:type="spellStart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="004E062E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  <w:r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. The urban areas are Turin, Genoa and Milan in the North-West; Padua, Verona, Venice, Trieste and Bologna in the North-East; Florence and Rome in the Centre; Naples, Bari, Catania, Messina and Palermo in the South and Islands. – (3) Cities or large towns with a resident population of over 500,000, including not only the administrative area of the main city or town but also the hinterland as identified by </w:t>
            </w:r>
            <w:proofErr w:type="spellStart"/>
            <w:r w:rsidR="00A57530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="00A57530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</w:t>
            </w:r>
            <w:r w:rsidR="004E062E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(</w:t>
            </w:r>
            <w:proofErr w:type="spellStart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="004E062E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  <w:r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>. The metropolitan areas are Turin, Genoa, Milan, Rome, Naples and Palermo.</w:t>
            </w:r>
          </w:p>
        </w:tc>
      </w:tr>
    </w:tbl>
    <w:p w:rsidR="00B211F1" w:rsidRPr="00235346" w:rsidRDefault="00B211F1" w:rsidP="00364975">
      <w:pPr>
        <w:keepNext/>
        <w:outlineLvl w:val="0"/>
        <w:rPr>
          <w:rFonts w:ascii="Garamond" w:hAnsi="Garamond"/>
          <w:b/>
          <w:color w:val="000000" w:themeColor="text1"/>
        </w:rPr>
        <w:sectPr w:rsidR="00B211F1" w:rsidRPr="00235346" w:rsidSect="00773EB1">
          <w:footerReference w:type="default" r:id="rId9"/>
          <w:pgSz w:w="16840" w:h="11906" w:orient="landscape"/>
          <w:pgMar w:top="280" w:right="1560" w:bottom="1133" w:left="142" w:header="720" w:footer="720" w:gutter="0"/>
          <w:cols w:space="720"/>
          <w:docGrid w:linePitch="299"/>
        </w:sectPr>
      </w:pPr>
    </w:p>
    <w:p w:rsidR="00364975" w:rsidRPr="00235346" w:rsidRDefault="00364975" w:rsidP="007D3013">
      <w:pPr>
        <w:keepNext/>
        <w:jc w:val="center"/>
        <w:outlineLvl w:val="0"/>
        <w:rPr>
          <w:rFonts w:ascii="Garamond" w:hAnsi="Garamond"/>
          <w:b/>
          <w:color w:val="000000" w:themeColor="text1"/>
        </w:rPr>
      </w:pPr>
    </w:p>
    <w:p w:rsidR="007D3013" w:rsidRPr="00235346" w:rsidRDefault="007D3013" w:rsidP="00C371CD">
      <w:pPr>
        <w:tabs>
          <w:tab w:val="left" w:pos="1985"/>
          <w:tab w:val="left" w:pos="7938"/>
          <w:tab w:val="left" w:pos="8222"/>
        </w:tabs>
        <w:ind w:right="571"/>
        <w:jc w:val="right"/>
        <w:rPr>
          <w:rFonts w:ascii="Arial" w:hAnsi="Arial" w:cs="Arial"/>
          <w:b/>
          <w:color w:val="000000" w:themeColor="text1"/>
          <w:szCs w:val="20"/>
        </w:rPr>
      </w:pPr>
      <w:r w:rsidRPr="00235346">
        <w:rPr>
          <w:rFonts w:ascii="Arial" w:hAnsi="Arial"/>
          <w:b/>
          <w:color w:val="000000" w:themeColor="text1"/>
        </w:rPr>
        <w:t xml:space="preserve">Table A2 </w:t>
      </w:r>
    </w:p>
    <w:p w:rsidR="007D3013" w:rsidRPr="00235346" w:rsidRDefault="007D3013" w:rsidP="0064355A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b/>
          <w:color w:val="000000" w:themeColor="text1"/>
          <w:szCs w:val="20"/>
        </w:rPr>
      </w:pPr>
      <w:r w:rsidRPr="00235346">
        <w:rPr>
          <w:rFonts w:ascii="Arial" w:hAnsi="Arial"/>
          <w:b/>
          <w:color w:val="000000" w:themeColor="text1"/>
        </w:rPr>
        <w:t>Standard errors of the estimates</w:t>
      </w:r>
    </w:p>
    <w:p w:rsidR="007D3013" w:rsidRPr="00235346" w:rsidRDefault="007D3013" w:rsidP="0064355A">
      <w:pPr>
        <w:pStyle w:val="Rientrocorpodeltesto"/>
        <w:ind w:right="-29"/>
        <w:jc w:val="center"/>
        <w:rPr>
          <w:rFonts w:ascii="Arial" w:hAnsi="Arial" w:cs="Arial"/>
          <w:i/>
          <w:color w:val="000000" w:themeColor="text1"/>
        </w:rPr>
      </w:pPr>
      <w:r w:rsidRPr="00235346">
        <w:rPr>
          <w:rFonts w:ascii="Arial" w:hAnsi="Arial"/>
          <w:i/>
          <w:color w:val="000000" w:themeColor="text1"/>
        </w:rPr>
        <w:t>(per cent)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364975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7D3013" w:rsidRPr="00235346" w:rsidRDefault="007D3013" w:rsidP="00BE6E1A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235346" w:rsidRDefault="007D3013" w:rsidP="00183863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 xml:space="preserve">Estimates expressed as percentages of </w:t>
            </w:r>
            <w:r w:rsidR="00183863" w:rsidRPr="00235346">
              <w:rPr>
                <w:rFonts w:ascii="Arial" w:hAnsi="Arial"/>
                <w:color w:val="000000" w:themeColor="text1"/>
                <w:sz w:val="20"/>
              </w:rPr>
              <w:t>agen</w:t>
            </w:r>
            <w:r w:rsidR="00183863">
              <w:rPr>
                <w:rFonts w:ascii="Arial" w:hAnsi="Arial"/>
                <w:color w:val="000000" w:themeColor="text1"/>
                <w:sz w:val="20"/>
              </w:rPr>
              <w:t>ts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7D3013" w:rsidRPr="00235346" w:rsidRDefault="007D3013" w:rsidP="00BE6E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235346" w:rsidRDefault="007D30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 xml:space="preserve"> 5%</w:t>
            </w:r>
          </w:p>
          <w:p w:rsidR="007D3013" w:rsidRPr="00235346" w:rsidRDefault="00F761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95%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10%</w:t>
            </w:r>
          </w:p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90%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15%</w:t>
            </w:r>
          </w:p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85%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20%</w:t>
            </w:r>
          </w:p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80%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25%</w:t>
            </w:r>
          </w:p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75%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30%</w:t>
            </w:r>
          </w:p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70%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35%</w:t>
            </w:r>
          </w:p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65%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40%</w:t>
            </w:r>
          </w:p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60%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45%</w:t>
            </w:r>
          </w:p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55%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50%</w:t>
            </w:r>
          </w:p>
          <w:p w:rsidR="007D3013" w:rsidRPr="00235346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50%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9E2F5D" w:rsidRPr="00235346" w:rsidRDefault="009E2F5D" w:rsidP="009E2F5D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235346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235346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235346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235346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235346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235346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235346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235346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235346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9E2F5D" w:rsidRPr="00235346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235346" w:rsidRDefault="009E2F5D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235346" w:rsidRDefault="009E2F5D" w:rsidP="0018386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="00183863">
              <w:rPr>
                <w:rFonts w:ascii="Arial" w:hAnsi="Arial"/>
                <w:i/>
                <w:color w:val="000000" w:themeColor="text1"/>
                <w:sz w:val="20"/>
              </w:rPr>
              <w:t xml:space="preserve"> </w:t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3.4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235346" w:rsidRDefault="009E2F5D" w:rsidP="00AB6F7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tab/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3.1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235346" w:rsidRDefault="009E2F5D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235346">
              <w:tab/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235346" w:rsidRDefault="009E2F5D" w:rsidP="0018386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rPr>
                <w:rFonts w:ascii="Arial" w:hAnsi="Arial"/>
                <w:i/>
                <w:color w:val="000000" w:themeColor="text1"/>
                <w:sz w:val="20"/>
              </w:rPr>
              <w:t>of which</w:t>
            </w:r>
            <w:r w:rsidR="00183863">
              <w:rPr>
                <w:rFonts w:ascii="Arial" w:hAnsi="Arial"/>
                <w:i/>
                <w:color w:val="000000" w:themeColor="text1"/>
                <w:sz w:val="20"/>
              </w:rPr>
              <w:t xml:space="preserve">: </w:t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4.5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235346" w:rsidRDefault="009E2F5D" w:rsidP="00AB6F7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tab/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235346" w:rsidRDefault="009E2F5D" w:rsidP="009E2F5D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235346">
              <w:tab/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2.5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235346" w:rsidRDefault="009E2F5D" w:rsidP="0018386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="00183863">
              <w:rPr>
                <w:rFonts w:ascii="Arial" w:hAnsi="Arial"/>
                <w:i/>
                <w:color w:val="000000" w:themeColor="text1"/>
                <w:sz w:val="20"/>
              </w:rPr>
              <w:t xml:space="preserve"> </w:t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4.1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235346" w:rsidRDefault="009E2F5D" w:rsidP="00AB6F7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tab/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235346" w:rsidRDefault="009E2F5D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2.8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235346" w:rsidRDefault="009E2F5D" w:rsidP="0018386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="00183863">
              <w:rPr>
                <w:rFonts w:ascii="Arial" w:hAnsi="Arial"/>
                <w:i/>
                <w:color w:val="000000" w:themeColor="text1"/>
                <w:sz w:val="20"/>
              </w:rPr>
              <w:t xml:space="preserve"> </w:t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4.9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5.1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5.1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235346" w:rsidRDefault="009E2F5D" w:rsidP="00AB6F7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tab/>
            </w:r>
            <w:r w:rsidRPr="00235346">
              <w:tab/>
            </w:r>
            <w:r w:rsidRPr="0023534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3.4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8424FD" w:rsidRDefault="008424FD" w:rsidP="009E2F5D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:rsidR="009E2F5D" w:rsidRPr="00235346" w:rsidRDefault="009E2F5D" w:rsidP="009E2F5D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F5D" w:rsidRPr="00235346" w:rsidRDefault="009E2F5D" w:rsidP="00F7611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Urban areas (&gt;250,000 inhabitants) (1)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0.9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F5D" w:rsidRPr="00235346" w:rsidRDefault="009E2F5D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0.7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0.9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1.5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F5D" w:rsidRPr="00235346" w:rsidRDefault="009E2F5D" w:rsidP="00F76113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Metropolitan areas (&gt;500,000 inhabitants) (2)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2.5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F5D" w:rsidRPr="00235346" w:rsidRDefault="009E2F5D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0.6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0.8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</w:tr>
      <w:tr w:rsidR="009E2F5D" w:rsidRPr="00235346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9E2F5D" w:rsidRPr="00235346" w:rsidRDefault="009E2F5D" w:rsidP="009E2F5D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235346"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0.5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0.7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0.9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1.0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1.1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1.1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1.2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1.2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1.2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vAlign w:val="center"/>
          </w:tcPr>
          <w:p w:rsidR="009E2F5D" w:rsidRPr="00235346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5346">
              <w:rPr>
                <w:rFonts w:ascii="Arial" w:hAnsi="Arial"/>
                <w:b/>
                <w:color w:val="000000" w:themeColor="text1"/>
                <w:sz w:val="20"/>
              </w:rPr>
              <w:t>1.2</w:t>
            </w:r>
          </w:p>
        </w:tc>
      </w:tr>
      <w:tr w:rsidR="00364975" w:rsidRPr="00235346" w:rsidTr="009E2F5D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7D3013" w:rsidRPr="00516D63" w:rsidRDefault="00F76113" w:rsidP="00A57530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(1) Areas with a resident population of over 250,000, including not only the administrative area of the main city or town but also the hinterland as identified by </w:t>
            </w:r>
            <w:proofErr w:type="spellStart"/>
            <w:r w:rsidR="00A57530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="00A57530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</w:t>
            </w:r>
            <w:r w:rsidR="004E062E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(</w:t>
            </w:r>
            <w:proofErr w:type="spellStart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="004E062E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  <w:r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. The urban areas are Turin, Genoa and Milan in the North-West; Padua, Verona, Venice, Trieste and Bologna in the North-East; Florence and Rome in the Centre; Naples, Bari, Catania, Messina and Palermo in the South and Islands. – (2) Cities or large towns with a resident population of over 500,000, including not only the administrative area of the main city or town but also the hinterland as identified by </w:t>
            </w:r>
            <w:proofErr w:type="spellStart"/>
            <w:r w:rsidR="00A57530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="00A57530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</w:t>
            </w:r>
            <w:r w:rsidR="004E062E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(</w:t>
            </w:r>
            <w:proofErr w:type="spellStart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="004E062E" w:rsidRPr="00516D63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="004E062E"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  <w:r w:rsidRPr="00516D63">
              <w:rPr>
                <w:rFonts w:ascii="Arial" w:hAnsi="Arial"/>
                <w:color w:val="000000" w:themeColor="text1"/>
                <w:sz w:val="16"/>
                <w:szCs w:val="16"/>
              </w:rPr>
              <w:t>. The metropolitan areas are Turin, Genoa, Milan, Rome, Naples and Palermo.</w:t>
            </w:r>
          </w:p>
        </w:tc>
      </w:tr>
    </w:tbl>
    <w:p w:rsidR="00626BED" w:rsidRDefault="00626BED" w:rsidP="00867597">
      <w:pPr>
        <w:pStyle w:val="Rientrocorpodeltesto"/>
        <w:ind w:right="218"/>
        <w:jc w:val="right"/>
        <w:rPr>
          <w:b/>
          <w:highlight w:val="lightGray"/>
        </w:rPr>
      </w:pPr>
    </w:p>
    <w:p w:rsidR="00516D63" w:rsidRDefault="00516D63" w:rsidP="00867597">
      <w:pPr>
        <w:pStyle w:val="Rientrocorpodeltesto"/>
        <w:ind w:right="218"/>
        <w:jc w:val="right"/>
        <w:rPr>
          <w:b/>
          <w:highlight w:val="lightGray"/>
        </w:rPr>
      </w:pPr>
    </w:p>
    <w:p w:rsidR="00281D5E" w:rsidRDefault="00281D5E" w:rsidP="00867597">
      <w:pPr>
        <w:pStyle w:val="Rientrocorpodeltesto"/>
        <w:ind w:right="218"/>
        <w:jc w:val="right"/>
        <w:rPr>
          <w:b/>
          <w:highlight w:val="lightGray"/>
        </w:rPr>
      </w:pPr>
    </w:p>
    <w:p w:rsidR="00281D5E" w:rsidRDefault="00281D5E" w:rsidP="00516D63">
      <w:pPr>
        <w:tabs>
          <w:tab w:val="right" w:pos="13970"/>
        </w:tabs>
        <w:jc w:val="right"/>
        <w:rPr>
          <w:rFonts w:ascii="Arial" w:hAnsi="Arial"/>
          <w:b/>
          <w:color w:val="000000" w:themeColor="text1"/>
        </w:rPr>
      </w:pPr>
    </w:p>
    <w:p w:rsidR="00516D63" w:rsidRPr="00B323D6" w:rsidRDefault="00516D63" w:rsidP="00516D63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</w:rPr>
      </w:pPr>
      <w:r w:rsidRPr="00B323D6">
        <w:rPr>
          <w:rFonts w:ascii="Arial" w:hAnsi="Arial"/>
          <w:b/>
          <w:color w:val="000000" w:themeColor="text1"/>
        </w:rPr>
        <w:t xml:space="preserve">Table 1 </w:t>
      </w:r>
    </w:p>
    <w:p w:rsidR="00516D63" w:rsidRPr="00B323D6" w:rsidRDefault="00516D63" w:rsidP="00516D6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</w:rPr>
      </w:pPr>
      <w:r w:rsidRPr="00B323D6">
        <w:rPr>
          <w:rFonts w:ascii="Arial" w:hAnsi="Arial"/>
          <w:b/>
          <w:color w:val="000000" w:themeColor="text1"/>
        </w:rPr>
        <w:t xml:space="preserve">Property selling prices </w:t>
      </w:r>
      <w:r w:rsidRPr="00B323D6">
        <w:rPr>
          <w:rFonts w:ascii="Arial" w:hAnsi="Arial"/>
          <w:color w:val="000000" w:themeColor="text1"/>
        </w:rPr>
        <w:t>(1)</w:t>
      </w:r>
    </w:p>
    <w:p w:rsidR="00516D63" w:rsidRPr="00B323D6" w:rsidRDefault="00516D63" w:rsidP="00516D6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</w:rPr>
      </w:pPr>
      <w:r w:rsidRPr="00B323D6">
        <w:rPr>
          <w:rFonts w:ascii="Arial" w:hAnsi="Arial"/>
          <w:i/>
          <w:color w:val="000000" w:themeColor="text1"/>
          <w:sz w:val="20"/>
        </w:rPr>
        <w:t>(per cent of real estate agents; reference quarter: October-December 2016)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9"/>
        <w:gridCol w:w="2737"/>
        <w:gridCol w:w="2809"/>
        <w:gridCol w:w="2873"/>
      </w:tblGrid>
      <w:tr w:rsidR="00516D63" w:rsidRPr="00B323D6" w:rsidTr="00E31953">
        <w:trPr>
          <w:trHeight w:val="364"/>
          <w:jc w:val="center"/>
        </w:trPr>
        <w:tc>
          <w:tcPr>
            <w:tcW w:w="51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23D6">
              <w:rPr>
                <w:rFonts w:ascii="Arial" w:hAnsi="Arial"/>
                <w:color w:val="000000" w:themeColor="text1"/>
              </w:rPr>
              <w:t> </w:t>
            </w:r>
          </w:p>
        </w:tc>
        <w:tc>
          <w:tcPr>
            <w:tcW w:w="84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Comparison with previous period</w:t>
            </w:r>
          </w:p>
        </w:tc>
      </w:tr>
      <w:tr w:rsidR="00516D63" w:rsidRPr="00B323D6" w:rsidTr="00E31953">
        <w:trPr>
          <w:trHeight w:val="146"/>
          <w:jc w:val="center"/>
        </w:trPr>
        <w:tc>
          <w:tcPr>
            <w:tcW w:w="5189" w:type="dxa"/>
            <w:vMerge/>
            <w:tcBorders>
              <w:top w:val="single" w:sz="6" w:space="0" w:color="00567A"/>
              <w:left w:val="nil"/>
              <w:bottom w:val="single" w:sz="4" w:space="0" w:color="00567A"/>
              <w:right w:val="single" w:sz="6" w:space="0" w:color="00567A"/>
            </w:tcBorders>
            <w:shd w:val="clear" w:color="auto" w:fill="FFFFFF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37" w:type="dxa"/>
            <w:tcBorders>
              <w:top w:val="single" w:sz="6" w:space="0" w:color="00567A"/>
              <w:left w:val="single" w:sz="6" w:space="0" w:color="00567A"/>
              <w:bottom w:val="single" w:sz="4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B323D6" w:rsidRDefault="00516D63" w:rsidP="00E31953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decreasing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B323D6" w:rsidRDefault="00516D63" w:rsidP="00E31953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stable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B323D6" w:rsidRDefault="00516D63" w:rsidP="00E31953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increasing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single" w:sz="4" w:space="0" w:color="00567A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2737" w:type="dxa"/>
            <w:tcBorders>
              <w:top w:val="single" w:sz="4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24.4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72.5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3.0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20.8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76.1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3.1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tab/>
              <w:t xml:space="preserve">    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28.4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68.6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3.0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B323D6">
              <w:tab/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26.1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71.9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29.6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68.4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tab/>
              <w:t xml:space="preserve">    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25.1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72.9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B323D6">
              <w:tab/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31.7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65.4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2.9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29.5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66.1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4.3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tab/>
              <w:t xml:space="preserve">    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33.6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64.8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1.6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30.5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67.1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23.8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74.3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1.8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tab/>
              <w:t xml:space="preserve">    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32.8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64.6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Urban areas (&gt;250,000 inhabitants) (2)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24.7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72.1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29.5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68.2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Metropolitan areas (&gt;500,000 inhabitants) (3)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24.1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72.7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29.1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68.5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B323D6">
              <w:tab/>
            </w:r>
          </w:p>
        </w:tc>
        <w:tc>
          <w:tcPr>
            <w:tcW w:w="27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b/>
                <w:color w:val="000000" w:themeColor="text1"/>
                <w:sz w:val="20"/>
              </w:rPr>
              <w:t>27.6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b/>
                <w:color w:val="000000" w:themeColor="text1"/>
                <w:sz w:val="20"/>
              </w:rPr>
              <w:t>69.8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b/>
                <w:color w:val="000000" w:themeColor="text1"/>
                <w:sz w:val="20"/>
              </w:rPr>
              <w:t>2.7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i/>
                <w:color w:val="000000" w:themeColor="text1"/>
                <w:sz w:val="20"/>
              </w:rPr>
              <w:t xml:space="preserve">memorandum item:   </w:t>
            </w:r>
          </w:p>
        </w:tc>
        <w:tc>
          <w:tcPr>
            <w:tcW w:w="273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ind w:left="-829" w:right="116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ind w:left="-829" w:right="116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ind w:left="-829" w:right="116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Q3 2016</w:t>
            </w:r>
            <w:r w:rsidRPr="00B323D6">
              <w:tab/>
            </w:r>
          </w:p>
        </w:tc>
        <w:tc>
          <w:tcPr>
            <w:tcW w:w="27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34.6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64.0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Q2 2016</w:t>
            </w:r>
            <w:r w:rsidRPr="00B323D6">
              <w:tab/>
            </w:r>
          </w:p>
        </w:tc>
        <w:tc>
          <w:tcPr>
            <w:tcW w:w="27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43.9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54.4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1.7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Q1 2016</w:t>
            </w:r>
            <w:r w:rsidRPr="00B323D6">
              <w:tab/>
            </w:r>
          </w:p>
        </w:tc>
        <w:tc>
          <w:tcPr>
            <w:tcW w:w="27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44.8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52.4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2.8</w:t>
            </w:r>
          </w:p>
        </w:tc>
      </w:tr>
      <w:tr w:rsidR="00516D63" w:rsidRPr="00B323D6" w:rsidTr="00E31953">
        <w:trPr>
          <w:jc w:val="center"/>
        </w:trPr>
        <w:tc>
          <w:tcPr>
            <w:tcW w:w="51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Q4 2015</w:t>
            </w:r>
            <w:r w:rsidRPr="00B323D6">
              <w:tab/>
            </w:r>
          </w:p>
        </w:tc>
        <w:tc>
          <w:tcPr>
            <w:tcW w:w="27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46.4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52.3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1.2</w:t>
            </w:r>
          </w:p>
        </w:tc>
      </w:tr>
      <w:tr w:rsidR="00516D63" w:rsidRPr="00B323D6" w:rsidTr="00E31953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B64862" w:rsidRDefault="00516D63" w:rsidP="00E31953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(1) Replies from the agents that reported sales in the reference quarter. – (2) Areas with a resident population of over 250,000,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). The urban areas are Turin, Genoa and Milan in the North-West; Padua, Verona, Venice, Trieste and Bologna in the North-East; Florence and Rome in the Centre; Naples, Bari, Catania, Messina and Palermo in the South and Islands. – (3) Cities or large towns with a resident population of over 500,000,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). The metropolitan areas are Turin, Genoa, Milan, Rome, Naples and Palermo.</w:t>
            </w:r>
          </w:p>
        </w:tc>
      </w:tr>
    </w:tbl>
    <w:p w:rsidR="00281D5E" w:rsidRDefault="00516D63" w:rsidP="00516D63">
      <w:pPr>
        <w:tabs>
          <w:tab w:val="right" w:pos="13970"/>
        </w:tabs>
      </w:pPr>
      <w:r w:rsidRPr="00B323D6">
        <w:br w:type="page"/>
      </w:r>
      <w:r w:rsidRPr="00B323D6">
        <w:lastRenderedPageBreak/>
        <w:tab/>
      </w:r>
    </w:p>
    <w:p w:rsidR="00516D63" w:rsidRPr="00B323D6" w:rsidRDefault="00516D63" w:rsidP="00281D5E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</w:rPr>
      </w:pPr>
      <w:r w:rsidRPr="00B323D6">
        <w:rPr>
          <w:rFonts w:ascii="Arial" w:hAnsi="Arial"/>
          <w:b/>
          <w:color w:val="000000" w:themeColor="text1"/>
        </w:rPr>
        <w:t>Table 2</w:t>
      </w:r>
    </w:p>
    <w:p w:rsidR="00516D63" w:rsidRPr="00B323D6" w:rsidRDefault="00516D63" w:rsidP="00516D6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</w:rPr>
      </w:pPr>
      <w:r w:rsidRPr="00B323D6">
        <w:rPr>
          <w:rFonts w:ascii="Arial" w:hAnsi="Arial"/>
          <w:b/>
          <w:color w:val="000000" w:themeColor="text1"/>
        </w:rPr>
        <w:t>House sales in the reference quarter</w:t>
      </w:r>
    </w:p>
    <w:p w:rsidR="00516D63" w:rsidRPr="00B323D6" w:rsidRDefault="00516D63" w:rsidP="00516D6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</w:rPr>
      </w:pPr>
      <w:r w:rsidRPr="00B323D6">
        <w:rPr>
          <w:rFonts w:ascii="Arial" w:hAnsi="Arial"/>
          <w:i/>
          <w:color w:val="000000" w:themeColor="text1"/>
          <w:sz w:val="20"/>
        </w:rPr>
        <w:t>(per cent of real estate agents; reference quarter: October-December 2016)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7"/>
        <w:gridCol w:w="1982"/>
        <w:gridCol w:w="2194"/>
        <w:gridCol w:w="2194"/>
        <w:gridCol w:w="2191"/>
      </w:tblGrid>
      <w:tr w:rsidR="00516D63" w:rsidRPr="00B323D6" w:rsidTr="00E31953">
        <w:trPr>
          <w:trHeight w:val="284"/>
          <w:jc w:val="center"/>
        </w:trPr>
        <w:tc>
          <w:tcPr>
            <w:tcW w:w="5047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B323D6" w:rsidRDefault="00516D63" w:rsidP="00E31953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98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 xml:space="preserve">Percentage of real estate </w:t>
            </w:r>
            <w:r w:rsidRPr="00B323D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 xml:space="preserve">agents that sold </w:t>
            </w:r>
            <w:r w:rsidRPr="00B323D6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homes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B323D6" w:rsidRDefault="00516D63" w:rsidP="00E31953">
            <w:pPr>
              <w:spacing w:after="12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</w:p>
        </w:tc>
      </w:tr>
      <w:tr w:rsidR="00516D63" w:rsidRPr="00B323D6" w:rsidTr="00E31953">
        <w:trPr>
          <w:trHeight w:val="270"/>
          <w:jc w:val="center"/>
        </w:trPr>
        <w:tc>
          <w:tcPr>
            <w:tcW w:w="5047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B323D6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982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only new builds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only pre-owned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new and pre-owned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198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81.5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60.0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20.2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85.4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0.9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56.2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28.3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tab/>
              <w:t xml:space="preserve">    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77.8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1.8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63.6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12.4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82.5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60.6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19.6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81.1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3.5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55.6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22.0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tab/>
              <w:t xml:space="preserve">    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82.9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1.9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62.1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18.9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80.4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3.8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61.3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15.3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B323D6">
              <w:t xml:space="preserve">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80.3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3.5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62.6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14.1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tab/>
              <w:t xml:space="preserve">    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80.5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4.0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60.2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16.3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76.4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58.0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17.1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80.2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0.0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55.4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24.8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tab/>
            </w:r>
            <w:r w:rsidRPr="00B323D6">
              <w:tab/>
              <w:t xml:space="preserve">     </w:t>
            </w:r>
            <w:r w:rsidRPr="00B323D6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75.1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1.9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58.9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14.3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Urban areas (&gt;250,000 inhabitants) (1)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82.7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1.9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58.0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22.8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79.3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61.5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15.4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Metropolitan areas (&gt;500,000 inhabitants) (2)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81.4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1.9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55.6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23.8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80.3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62.0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15.9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1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B323D6">
              <w:tab/>
            </w:r>
          </w:p>
        </w:tc>
        <w:tc>
          <w:tcPr>
            <w:tcW w:w="19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b/>
                <w:color w:val="000000" w:themeColor="text1"/>
                <w:sz w:val="20"/>
              </w:rPr>
              <w:t>80.6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b/>
                <w:color w:val="000000" w:themeColor="text1"/>
                <w:sz w:val="20"/>
              </w:rPr>
              <w:t>2.2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b/>
                <w:color w:val="000000" w:themeColor="text1"/>
                <w:sz w:val="20"/>
              </w:rPr>
              <w:t>60.1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b/>
                <w:color w:val="000000" w:themeColor="text1"/>
                <w:sz w:val="20"/>
              </w:rPr>
              <w:t>18.3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i/>
                <w:color w:val="000000" w:themeColor="text1"/>
                <w:sz w:val="20"/>
              </w:rPr>
              <w:t xml:space="preserve">memorandum item:       </w:t>
            </w:r>
          </w:p>
        </w:tc>
        <w:tc>
          <w:tcPr>
            <w:tcW w:w="198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Q3 2016</w:t>
            </w:r>
            <w:r w:rsidRPr="00B323D6">
              <w:tab/>
            </w:r>
          </w:p>
        </w:tc>
        <w:tc>
          <w:tcPr>
            <w:tcW w:w="1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72.9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55.5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14.8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Q2 2016</w:t>
            </w:r>
            <w:r w:rsidRPr="00B323D6">
              <w:tab/>
            </w:r>
          </w:p>
        </w:tc>
        <w:tc>
          <w:tcPr>
            <w:tcW w:w="1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71.3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3.3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56.5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11.5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Q1 2016</w:t>
            </w:r>
            <w:r w:rsidRPr="00B323D6">
              <w:tab/>
            </w:r>
          </w:p>
        </w:tc>
        <w:tc>
          <w:tcPr>
            <w:tcW w:w="1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79.9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63.3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14.6</w:t>
            </w:r>
          </w:p>
        </w:tc>
      </w:tr>
      <w:tr w:rsidR="00516D63" w:rsidRPr="00B323D6" w:rsidTr="00E31953">
        <w:trPr>
          <w:jc w:val="center"/>
        </w:trPr>
        <w:tc>
          <w:tcPr>
            <w:tcW w:w="5047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Q4 2015</w:t>
            </w:r>
            <w:r w:rsidRPr="00B323D6">
              <w:tab/>
            </w:r>
          </w:p>
        </w:tc>
        <w:tc>
          <w:tcPr>
            <w:tcW w:w="1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77.8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3.4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57.9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23D6">
              <w:rPr>
                <w:rFonts w:ascii="Arial" w:hAnsi="Arial"/>
                <w:color w:val="000000" w:themeColor="text1"/>
                <w:sz w:val="20"/>
              </w:rPr>
              <w:t>16.4</w:t>
            </w:r>
          </w:p>
        </w:tc>
      </w:tr>
      <w:tr w:rsidR="00516D63" w:rsidRPr="00FA205C" w:rsidTr="00E31953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B64862" w:rsidRDefault="00516D63" w:rsidP="00E31953">
            <w:pPr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(1) Areas with a resident population of over 250,000,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). The urban areas are Turin, Genoa and Milan in the North-West; Padua, Verona, Venice, Trieste and Bologna in the North-East; Florence and Rome in the Centre; Naples, Bari, Catania, Messina and Palermo in the South and Islands. – (2) Cities or large towns with a resident population of over 500,000,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). The metropolitan areas are Turin, Genoa, Milan, Rome, Naples and Palermo.</w:t>
            </w:r>
          </w:p>
        </w:tc>
      </w:tr>
    </w:tbl>
    <w:p w:rsidR="00281D5E" w:rsidRDefault="00516D63" w:rsidP="00516D63">
      <w:pPr>
        <w:tabs>
          <w:tab w:val="right" w:pos="13970"/>
        </w:tabs>
      </w:pPr>
      <w:r w:rsidRPr="00FA205C">
        <w:br w:type="page"/>
      </w:r>
      <w:r w:rsidRPr="00FA205C">
        <w:lastRenderedPageBreak/>
        <w:tab/>
      </w:r>
    </w:p>
    <w:p w:rsidR="00516D63" w:rsidRPr="00FA205C" w:rsidRDefault="00516D63" w:rsidP="00281D5E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>Table 3</w:t>
      </w:r>
    </w:p>
    <w:p w:rsidR="00516D63" w:rsidRPr="00FA205C" w:rsidRDefault="00516D63" w:rsidP="00516D6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</w:rPr>
      </w:pPr>
      <w:r w:rsidRPr="00FA205C">
        <w:rPr>
          <w:rFonts w:ascii="Arial" w:hAnsi="Arial"/>
          <w:b/>
          <w:color w:val="000000" w:themeColor="text1"/>
        </w:rPr>
        <w:t xml:space="preserve">Surface area, status, type and conditions of brokered property </w:t>
      </w:r>
      <w:r w:rsidRPr="00FA205C">
        <w:rPr>
          <w:rFonts w:ascii="Arial" w:hAnsi="Arial"/>
          <w:color w:val="000000" w:themeColor="text1"/>
        </w:rPr>
        <w:t>(1)</w:t>
      </w:r>
      <w:r w:rsidRPr="00FA205C">
        <w:rPr>
          <w:rFonts w:ascii="Arial" w:hAnsi="Arial" w:cs="Arial"/>
          <w:b/>
          <w:color w:val="000000" w:themeColor="text1"/>
          <w:szCs w:val="20"/>
          <w:vertAlign w:val="superscript"/>
        </w:rPr>
        <w:br/>
      </w:r>
      <w:r w:rsidRPr="00FA205C">
        <w:rPr>
          <w:rFonts w:ascii="Arial" w:hAnsi="Arial"/>
          <w:i/>
          <w:color w:val="000000" w:themeColor="text1"/>
          <w:sz w:val="20"/>
        </w:rPr>
        <w:t xml:space="preserve">(per cent of real estate agents; reference quarter: October-December 2016) </w:t>
      </w:r>
      <w:r w:rsidRPr="00FA205C">
        <w:rPr>
          <w:rFonts w:ascii="Arial" w:hAnsi="Arial" w:cs="Arial"/>
          <w:i/>
          <w:color w:val="000000" w:themeColor="text1"/>
        </w:rPr>
        <w:br/>
      </w:r>
    </w:p>
    <w:tbl>
      <w:tblPr>
        <w:tblW w:w="4841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6"/>
        <w:gridCol w:w="618"/>
        <w:gridCol w:w="846"/>
        <w:gridCol w:w="849"/>
        <w:gridCol w:w="837"/>
        <w:gridCol w:w="861"/>
        <w:gridCol w:w="840"/>
        <w:gridCol w:w="1038"/>
        <w:gridCol w:w="935"/>
        <w:gridCol w:w="805"/>
        <w:gridCol w:w="876"/>
        <w:gridCol w:w="970"/>
        <w:gridCol w:w="811"/>
      </w:tblGrid>
      <w:tr w:rsidR="00516D63" w:rsidRPr="00FA205C" w:rsidTr="00E31953">
        <w:trPr>
          <w:trHeight w:hRule="exact" w:val="397"/>
          <w:jc w:val="center"/>
        </w:trPr>
        <w:tc>
          <w:tcPr>
            <w:tcW w:w="1523" w:type="pc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A205C">
              <w:br w:type="page"/>
            </w:r>
          </w:p>
        </w:tc>
        <w:tc>
          <w:tcPr>
            <w:tcW w:w="782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Surface area (m</w:t>
            </w:r>
            <w:r w:rsidRPr="00FA205C">
              <w:rPr>
                <w:rFonts w:ascii="Arial" w:hAnsi="Arial"/>
                <w:color w:val="000000" w:themeColor="text1"/>
                <w:sz w:val="20"/>
                <w:vertAlign w:val="superscript"/>
              </w:rPr>
              <w:t>2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)</w:t>
            </w:r>
          </w:p>
        </w:tc>
        <w:tc>
          <w:tcPr>
            <w:tcW w:w="858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Status of the property</w:t>
            </w:r>
          </w:p>
        </w:tc>
        <w:tc>
          <w:tcPr>
            <w:tcW w:w="939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Type of property</w:t>
            </w:r>
          </w:p>
        </w:tc>
        <w:tc>
          <w:tcPr>
            <w:tcW w:w="898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Condition of the property</w:t>
            </w:r>
          </w:p>
        </w:tc>
      </w:tr>
      <w:tr w:rsidR="00516D63" w:rsidRPr="00FA205C" w:rsidTr="00E31953">
        <w:trPr>
          <w:trHeight w:val="927"/>
          <w:jc w:val="center"/>
        </w:trPr>
        <w:tc>
          <w:tcPr>
            <w:tcW w:w="1523" w:type="pc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9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≤80</w:t>
            </w:r>
          </w:p>
        </w:tc>
        <w:tc>
          <w:tcPr>
            <w:tcW w:w="286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81-140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&gt;140</w:t>
            </w:r>
          </w:p>
        </w:tc>
        <w:tc>
          <w:tcPr>
            <w:tcW w:w="283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Clear</w:t>
            </w:r>
          </w:p>
        </w:tc>
        <w:tc>
          <w:tcPr>
            <w:tcW w:w="291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Rented</w:t>
            </w:r>
          </w:p>
        </w:tc>
        <w:tc>
          <w:tcPr>
            <w:tcW w:w="284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Life ten-</w:t>
            </w:r>
            <w:proofErr w:type="spellStart"/>
            <w:r w:rsidRPr="00FA205C">
              <w:rPr>
                <w:rFonts w:ascii="Arial" w:hAnsi="Arial"/>
                <w:color w:val="000000" w:themeColor="text1"/>
                <w:sz w:val="20"/>
              </w:rPr>
              <w:t>ancy</w:t>
            </w:r>
            <w:proofErr w:type="spellEnd"/>
            <w:r w:rsidRPr="00FA205C">
              <w:rPr>
                <w:rFonts w:ascii="Arial" w:hAnsi="Arial"/>
                <w:color w:val="000000" w:themeColor="text1"/>
                <w:sz w:val="20"/>
              </w:rPr>
              <w:t>,</w:t>
            </w:r>
          </w:p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A205C">
              <w:rPr>
                <w:rFonts w:ascii="Arial" w:hAnsi="Arial"/>
                <w:color w:val="000000" w:themeColor="text1"/>
                <w:sz w:val="20"/>
              </w:rPr>
              <w:t>usu-fruct</w:t>
            </w:r>
            <w:proofErr w:type="spellEnd"/>
            <w:r w:rsidRPr="00FA205C">
              <w:rPr>
                <w:rFonts w:ascii="Arial" w:hAnsi="Arial"/>
                <w:color w:val="000000" w:themeColor="text1"/>
                <w:sz w:val="20"/>
              </w:rPr>
              <w:t>, other</w:t>
            </w:r>
          </w:p>
        </w:tc>
        <w:tc>
          <w:tcPr>
            <w:tcW w:w="351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High</w:t>
            </w:r>
          </w:p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/</w:t>
            </w:r>
          </w:p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good quality</w:t>
            </w:r>
          </w:p>
        </w:tc>
        <w:tc>
          <w:tcPr>
            <w:tcW w:w="316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Average/</w:t>
            </w:r>
          </w:p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low quality</w:t>
            </w:r>
          </w:p>
        </w:tc>
        <w:tc>
          <w:tcPr>
            <w:tcW w:w="272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Villas</w:t>
            </w:r>
          </w:p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/</w:t>
            </w:r>
          </w:p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detached houses</w:t>
            </w:r>
          </w:p>
        </w:tc>
        <w:tc>
          <w:tcPr>
            <w:tcW w:w="296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New or excel-lent</w:t>
            </w:r>
          </w:p>
        </w:tc>
        <w:tc>
          <w:tcPr>
            <w:tcW w:w="32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Some </w:t>
            </w:r>
            <w:proofErr w:type="spellStart"/>
            <w:r w:rsidRPr="00FA205C">
              <w:rPr>
                <w:rFonts w:ascii="Arial" w:hAnsi="Arial"/>
                <w:color w:val="000000" w:themeColor="text1"/>
                <w:sz w:val="20"/>
              </w:rPr>
              <w:t>refur-bish-ment</w:t>
            </w:r>
            <w:proofErr w:type="spellEnd"/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 needed</w:t>
            </w:r>
          </w:p>
        </w:tc>
        <w:tc>
          <w:tcPr>
            <w:tcW w:w="274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Total </w:t>
            </w:r>
            <w:proofErr w:type="spellStart"/>
            <w:r w:rsidRPr="00FA205C">
              <w:rPr>
                <w:rFonts w:ascii="Arial" w:hAnsi="Arial"/>
                <w:color w:val="000000" w:themeColor="text1"/>
                <w:sz w:val="20"/>
              </w:rPr>
              <w:t>refur-bish-ment</w:t>
            </w:r>
            <w:proofErr w:type="spellEnd"/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 needed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209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86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83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91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84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351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316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72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96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32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74" w:type="pct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45.9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51.2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2.9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94.1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5.2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0.7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53.5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44.2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22.1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74.3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3.6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48.0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48.7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3.3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93.6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5.6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0.8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53.2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45.9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0.9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15.9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80.2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3.9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43.7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53.9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94.7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4.7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0.7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53.8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42.3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3.9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28.8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68.0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3.3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FA205C">
              <w:tab/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38.1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59.8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95.3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1.5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58.7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38.4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2.9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22.1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75.3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35.3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62.0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2.7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93.3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6.2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0.5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53.7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44.3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20.9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76.4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2.7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39.0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59.2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1.8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95.9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1.7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60.2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36.7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3.1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22.4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75.0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FA205C">
              <w:tab/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47.9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45.8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6.2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94.0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5.6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0.5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53.0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41.5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5.5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25.1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71.6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3.4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49.5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42.0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8.5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92.4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6.6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1.0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47.8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46.7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5.5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19.3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75.8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4.9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46.6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49.1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4.3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95.3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4.7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0.0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57.5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37.0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5.5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30.0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68.0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36.2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59.4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4.4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93.3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6.3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0.4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59.7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39.1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1.2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16.8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77.4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5.8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35.9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58.5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5.6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93.9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6.1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0.0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58.2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41.1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0.7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9.1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83.9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36.3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59.7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4.0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93.1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6.4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0.5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60.2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38.4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19.7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75.0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5.4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Urban areas (&gt;250,000 inhabitants) (2)</w:t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45.6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49.4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5.0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93.3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6.0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0.7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52.2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45.4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16.8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78.9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4.4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41.6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55.5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3.0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94.8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4.4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0.8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57.7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38.7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3.6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25.5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71.3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Metropolitan areas (&gt;500,000 inhabitants) (3)</w:t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48.9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45.9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5.3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92.5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6.7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0.9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51.8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45.4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2.8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16.1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78.6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5.3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40.7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56.2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3.1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95.0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4.3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0.7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57.1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39.6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24.5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72.5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1523" w:type="pct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FA205C">
              <w:tab/>
            </w:r>
          </w:p>
        </w:tc>
        <w:tc>
          <w:tcPr>
            <w:tcW w:w="209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43.2</w:t>
            </w:r>
          </w:p>
        </w:tc>
        <w:tc>
          <w:tcPr>
            <w:tcW w:w="286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53.1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3.8</w:t>
            </w:r>
          </w:p>
        </w:tc>
        <w:tc>
          <w:tcPr>
            <w:tcW w:w="283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94.2</w:t>
            </w:r>
          </w:p>
        </w:tc>
        <w:tc>
          <w:tcPr>
            <w:tcW w:w="291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5.0</w:t>
            </w:r>
          </w:p>
        </w:tc>
        <w:tc>
          <w:tcPr>
            <w:tcW w:w="284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0.8</w:t>
            </w:r>
          </w:p>
        </w:tc>
        <w:tc>
          <w:tcPr>
            <w:tcW w:w="351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55.5</w:t>
            </w:r>
          </w:p>
        </w:tc>
        <w:tc>
          <w:tcPr>
            <w:tcW w:w="316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41.4</w:t>
            </w:r>
          </w:p>
        </w:tc>
        <w:tc>
          <w:tcPr>
            <w:tcW w:w="272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3.1</w:t>
            </w:r>
          </w:p>
        </w:tc>
        <w:tc>
          <w:tcPr>
            <w:tcW w:w="296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22.0</w:t>
            </w:r>
          </w:p>
        </w:tc>
        <w:tc>
          <w:tcPr>
            <w:tcW w:w="32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74.3</w:t>
            </w:r>
          </w:p>
        </w:tc>
        <w:tc>
          <w:tcPr>
            <w:tcW w:w="274" w:type="pct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3.7</w:t>
            </w:r>
          </w:p>
        </w:tc>
      </w:tr>
      <w:tr w:rsidR="00516D63" w:rsidRPr="00FA205C" w:rsidTr="00E31953">
        <w:trPr>
          <w:trHeight w:val="20"/>
          <w:jc w:val="center"/>
        </w:trPr>
        <w:tc>
          <w:tcPr>
            <w:tcW w:w="5000" w:type="pct"/>
            <w:gridSpan w:val="13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B64862" w:rsidRDefault="00516D63" w:rsidP="00E31953">
            <w:pPr>
              <w:pStyle w:val="Paragrafoelenco"/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(1) Replies from the agents that reported sales in the reference quarter. – (2) Areas with a resident population of over 250,000,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). The urban areas are Turin, Genoa and Milan in the North-West; Padua, Verona, Venice, Trieste and Bologna in the North-East; Florence and Rome in the Centre; Naples, Bari, Catania, Messina and Palermo in the South and Islands. – (3) Cities or large towns with a resident population of over 500,000,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). The metropolitan areas are Turin, Genoa, Milan, Rome, Naples and Palermo.</w:t>
            </w:r>
          </w:p>
        </w:tc>
      </w:tr>
    </w:tbl>
    <w:p w:rsidR="00281D5E" w:rsidRDefault="00516D63" w:rsidP="00516D63">
      <w:pPr>
        <w:tabs>
          <w:tab w:val="right" w:pos="13970"/>
        </w:tabs>
      </w:pPr>
      <w:r w:rsidRPr="00FA205C">
        <w:br w:type="page"/>
      </w:r>
      <w:r w:rsidRPr="00FA205C">
        <w:lastRenderedPageBreak/>
        <w:tab/>
      </w:r>
    </w:p>
    <w:p w:rsidR="00516D63" w:rsidRPr="00FA205C" w:rsidRDefault="00516D63" w:rsidP="00281D5E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>Table 4</w:t>
      </w:r>
    </w:p>
    <w:p w:rsidR="00516D63" w:rsidRPr="00FA205C" w:rsidRDefault="00516D63" w:rsidP="00516D6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 xml:space="preserve">Energy class of brokered property </w:t>
      </w:r>
      <w:r w:rsidRPr="00FA205C">
        <w:rPr>
          <w:rFonts w:ascii="Arial" w:hAnsi="Arial"/>
          <w:color w:val="000000" w:themeColor="text1"/>
        </w:rPr>
        <w:t>(1)</w:t>
      </w:r>
      <w:r w:rsidRPr="00FA205C">
        <w:rPr>
          <w:rFonts w:ascii="Arial" w:hAnsi="Arial" w:cs="Arial"/>
          <w:b/>
          <w:color w:val="000000" w:themeColor="text1"/>
          <w:szCs w:val="20"/>
        </w:rPr>
        <w:br/>
      </w:r>
      <w:r w:rsidRPr="00FA205C">
        <w:rPr>
          <w:rFonts w:ascii="Arial" w:hAnsi="Arial"/>
          <w:i/>
          <w:color w:val="000000" w:themeColor="text1"/>
          <w:sz w:val="20"/>
        </w:rPr>
        <w:t xml:space="preserve">(per cent of real estate agents; reference quarter: October-December 2016) </w:t>
      </w:r>
      <w:r w:rsidRPr="00FA205C">
        <w:rPr>
          <w:rFonts w:ascii="Arial" w:hAnsi="Arial" w:cs="Arial"/>
          <w:i/>
          <w:color w:val="000000" w:themeColor="text1"/>
        </w:rPr>
        <w:br/>
      </w:r>
    </w:p>
    <w:tbl>
      <w:tblPr>
        <w:tblW w:w="4520" w:type="pct"/>
        <w:jc w:val="center"/>
        <w:tblInd w:w="4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6"/>
        <w:gridCol w:w="1572"/>
        <w:gridCol w:w="1892"/>
        <w:gridCol w:w="1892"/>
        <w:gridCol w:w="1892"/>
        <w:gridCol w:w="1697"/>
      </w:tblGrid>
      <w:tr w:rsidR="00516D63" w:rsidRPr="00FA205C" w:rsidTr="00E31953">
        <w:trPr>
          <w:trHeight w:hRule="exact" w:val="397"/>
          <w:jc w:val="center"/>
        </w:trPr>
        <w:tc>
          <w:tcPr>
            <w:tcW w:w="486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A205C">
              <w:br w:type="page"/>
            </w:r>
          </w:p>
        </w:tc>
        <w:tc>
          <w:tcPr>
            <w:tcW w:w="8945" w:type="dxa"/>
            <w:gridSpan w:val="5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Energy class of property</w:t>
            </w:r>
          </w:p>
        </w:tc>
      </w:tr>
      <w:tr w:rsidR="00516D63" w:rsidRPr="00FA205C" w:rsidTr="00E31953">
        <w:trPr>
          <w:jc w:val="center"/>
        </w:trPr>
        <w:tc>
          <w:tcPr>
            <w:tcW w:w="48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Unclassified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A-B-C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D-E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F-G</w:t>
            </w:r>
          </w:p>
        </w:tc>
        <w:tc>
          <w:tcPr>
            <w:tcW w:w="169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Total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157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1697" w:type="dxa"/>
            <w:tcBorders>
              <w:top w:val="single" w:sz="6" w:space="0" w:color="00567A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72.9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13.9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67.0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79.4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69.8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72.0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12.9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69.3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85.1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87.9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83.1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80.7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83.6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79.6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Urban areas (&gt;250,000 inhabitants) (2)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13.9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74.4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76.9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Metropolitan areas (&gt;500,000 inhabitants) (3)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72.9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77.1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27"/>
          <w:jc w:val="center"/>
        </w:trPr>
        <w:tc>
          <w:tcPr>
            <w:tcW w:w="48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FA205C">
              <w:tab/>
            </w:r>
          </w:p>
        </w:tc>
        <w:tc>
          <w:tcPr>
            <w:tcW w:w="157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0.5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11.0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12.6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75.9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100.0</w:t>
            </w:r>
          </w:p>
        </w:tc>
      </w:tr>
      <w:tr w:rsidR="00516D63" w:rsidRPr="00FA205C" w:rsidTr="00E31953">
        <w:trPr>
          <w:trHeight w:val="20"/>
          <w:jc w:val="center"/>
        </w:trPr>
        <w:tc>
          <w:tcPr>
            <w:tcW w:w="13811" w:type="dxa"/>
            <w:gridSpan w:val="6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B64862" w:rsidRDefault="00516D63" w:rsidP="00E31953">
            <w:pPr>
              <w:pStyle w:val="Paragrafoelenco"/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(1) Replies from the agents that reported sales in the reference quarter. – (2) Areas with a resident population of over 250,000,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). The urban areas are Turin, Genoa and Milan in the North-West; Padua, Verona, Venice, Trieste and Bologna in the North-East; Florence and Rome in the Centre; Naples, Bari, Catania, Messina and Palermo in the South and Islands. – (3) Cities or large towns with a resident population of over 500,000,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). The metropolitan areas are Turin, Genoa, Milan, Rome, Naples and Palermo.</w:t>
            </w:r>
          </w:p>
        </w:tc>
      </w:tr>
    </w:tbl>
    <w:p w:rsidR="00281D5E" w:rsidRDefault="00516D63" w:rsidP="00516D63">
      <w:pPr>
        <w:tabs>
          <w:tab w:val="right" w:pos="13970"/>
        </w:tabs>
      </w:pPr>
      <w:r w:rsidRPr="00FA205C">
        <w:br w:type="page"/>
      </w:r>
      <w:r w:rsidRPr="00FA205C">
        <w:lastRenderedPageBreak/>
        <w:tab/>
      </w:r>
    </w:p>
    <w:p w:rsidR="00516D63" w:rsidRPr="00FA205C" w:rsidRDefault="00516D63" w:rsidP="00281D5E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>Table 5</w:t>
      </w:r>
    </w:p>
    <w:p w:rsidR="00516D63" w:rsidRPr="00FA205C" w:rsidRDefault="00516D63" w:rsidP="00516D6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</w:rPr>
      </w:pPr>
      <w:r w:rsidRPr="00FA205C">
        <w:rPr>
          <w:rFonts w:ascii="Arial" w:hAnsi="Arial"/>
          <w:b/>
          <w:color w:val="000000" w:themeColor="text1"/>
        </w:rPr>
        <w:t>Sale listings and potential buyers</w:t>
      </w:r>
    </w:p>
    <w:p w:rsidR="00516D63" w:rsidRPr="00FA205C" w:rsidRDefault="00516D63" w:rsidP="00516D6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</w:rPr>
      </w:pPr>
      <w:r w:rsidRPr="00FA205C">
        <w:rPr>
          <w:rFonts w:ascii="Arial" w:hAnsi="Arial"/>
          <w:i/>
          <w:color w:val="000000" w:themeColor="text1"/>
          <w:sz w:val="20"/>
        </w:rPr>
        <w:t>(per cent of real estate agents; reference quarter: October-December 2016)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516D63" w:rsidRPr="00FA205C" w:rsidTr="00E31953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Number of sale listings </w:t>
            </w:r>
            <w:r w:rsidRPr="00FA205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outstanding at end of quarter </w:t>
            </w:r>
            <w:r w:rsidRPr="00FA205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compared with previous quarter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Number of sale listings </w:t>
            </w:r>
            <w:r w:rsidRPr="00FA205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received in the quarter </w:t>
            </w:r>
            <w:r w:rsidRPr="00FA205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compared with previous quarter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Number of potential buyers in </w:t>
            </w:r>
            <w:r w:rsidRPr="00FA205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the quarter compared with </w:t>
            </w:r>
            <w:r w:rsidRPr="00FA205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previous quarter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lower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same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pacing w:val="-10"/>
                <w:sz w:val="20"/>
              </w:rPr>
              <w:t>higher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lower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same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pacing w:val="-10"/>
                <w:sz w:val="20"/>
              </w:rPr>
              <w:t>higher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lower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same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pacing w:val="-10"/>
                <w:sz w:val="20"/>
              </w:rPr>
              <w:t>higher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FA205C"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68.8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68.8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57.5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28.9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71.8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71.3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54.6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31.9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65.7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66.2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60.3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26.0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FA205C">
              <w:tab/>
            </w:r>
            <w:r w:rsidRPr="00FA205C"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65.7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61.0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26.5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61.0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61.8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27.3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60.7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26.2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FA205C">
              <w:tab/>
            </w:r>
            <w:r w:rsidRPr="00FA205C"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16.2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61.8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64.5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22.5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71.0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59.6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21.1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20.2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60.3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23.8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FA205C"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64.5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64.5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22.9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after="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66.1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20.6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64.3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62.8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23.7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B64862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Urban areas (&gt;250,000 inhabitants) (1)</w:t>
            </w:r>
            <w:r w:rsidRPr="00B64862">
              <w:rPr>
                <w:rFonts w:ascii="Arial" w:hAnsi="Arial"/>
                <w:color w:val="000000" w:themeColor="text1"/>
                <w:sz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70.6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61.3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26.8</w:t>
            </w:r>
          </w:p>
        </w:tc>
      </w:tr>
      <w:tr w:rsidR="00516D63" w:rsidRPr="00B64862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Pr="00B64862">
              <w:rPr>
                <w:rFonts w:ascii="Arial" w:hAnsi="Arial"/>
                <w:color w:val="000000" w:themeColor="text1"/>
                <w:sz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66.2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65.9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61.2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25.1</w:t>
            </w:r>
          </w:p>
        </w:tc>
      </w:tr>
      <w:tr w:rsidR="00516D63" w:rsidRPr="00B64862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pos="1134"/>
                <w:tab w:val="left" w:leader="dot" w:pos="4616"/>
              </w:tabs>
              <w:spacing w:before="120"/>
              <w:ind w:firstLineChars="100" w:firstLine="200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Metropolitan areas (&gt;500,000 inhabitants) (2)</w:t>
            </w:r>
            <w:r w:rsidRPr="00B64862">
              <w:rPr>
                <w:rFonts w:ascii="Arial" w:hAnsi="Arial"/>
                <w:color w:val="000000" w:themeColor="text1"/>
                <w:sz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70.4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58.6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28.1</w:t>
            </w:r>
          </w:p>
        </w:tc>
      </w:tr>
      <w:tr w:rsidR="00516D63" w:rsidRPr="00B64862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  <w:r w:rsidRPr="00B64862">
              <w:rPr>
                <w:rFonts w:ascii="Arial" w:hAnsi="Arial"/>
                <w:color w:val="000000" w:themeColor="text1"/>
                <w:sz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66.8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65.7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62.3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24.8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tabs>
                <w:tab w:val="left" w:pos="1134"/>
                <w:tab w:val="left" w:leader="dot" w:pos="4648"/>
              </w:tabs>
              <w:spacing w:after="20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FA205C"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18.0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67.9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14.0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16.1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66.3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17.5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13.1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61.2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25.7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3771"/>
                <w:tab w:val="left" w:leader="dot" w:pos="4648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memorandum item: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Q3 2016</w:t>
            </w:r>
            <w:r w:rsidRPr="00FA205C"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18.7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61.9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56.8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23.9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Q2 2016</w:t>
            </w:r>
            <w:r w:rsidRPr="00FA205C"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57.9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59.3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21.2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Q1 2016</w:t>
            </w:r>
            <w:r w:rsidRPr="00FA205C"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61.1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22.3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57.1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54.0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31.6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Q4 2015</w:t>
            </w:r>
            <w:r w:rsidRPr="00FA205C"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59.6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56.6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50.5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32.5</w:t>
            </w:r>
          </w:p>
        </w:tc>
      </w:tr>
      <w:tr w:rsidR="00516D63" w:rsidRPr="00FA205C" w:rsidTr="00E31953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A205C">
              <w:rPr>
                <w:rFonts w:ascii="Arial" w:hAnsi="Arial"/>
                <w:color w:val="000000" w:themeColor="text1"/>
                <w:sz w:val="18"/>
              </w:rPr>
              <w:t>(</w:t>
            </w: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1) Areas with a resident population of over 250,000,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). The urban areas are Turin, Genoa and Milan in the North-West; Padua, Verona, Venice, Trieste and Bologna in the North-East; Florence and Rome in the Centre; Naples, Bari, Catania, Messina and Palermo in the South and Islands. – (2) Cities or large towns with a resident population of over 500,000,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). The metropolitan areas are Turin, Genoa, Milan, Rome, Naples and Palermo.</w:t>
            </w:r>
          </w:p>
        </w:tc>
      </w:tr>
    </w:tbl>
    <w:p w:rsidR="00281D5E" w:rsidRDefault="00516D63" w:rsidP="00516D63">
      <w:pPr>
        <w:tabs>
          <w:tab w:val="right" w:pos="13970"/>
        </w:tabs>
      </w:pPr>
      <w:r w:rsidRPr="00FA205C">
        <w:br w:type="page"/>
      </w:r>
      <w:r w:rsidRPr="00FA205C">
        <w:lastRenderedPageBreak/>
        <w:tab/>
      </w:r>
    </w:p>
    <w:p w:rsidR="00516D63" w:rsidRPr="00FA205C" w:rsidRDefault="00516D63" w:rsidP="00281D5E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>Table 6</w:t>
      </w:r>
    </w:p>
    <w:p w:rsidR="00516D63" w:rsidRPr="00FA205C" w:rsidRDefault="00516D63" w:rsidP="00516D6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 xml:space="preserve">Main reasons for cancelling sale listings with agents </w:t>
      </w:r>
      <w:r w:rsidRPr="00FA205C">
        <w:rPr>
          <w:rFonts w:ascii="Arial" w:hAnsi="Arial"/>
          <w:color w:val="000000" w:themeColor="text1"/>
        </w:rPr>
        <w:t>(1)</w:t>
      </w:r>
    </w:p>
    <w:p w:rsidR="00516D63" w:rsidRPr="00FA205C" w:rsidRDefault="00516D63" w:rsidP="00516D6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</w:rPr>
      </w:pPr>
      <w:r w:rsidRPr="00FA205C">
        <w:rPr>
          <w:rFonts w:ascii="Arial" w:hAnsi="Arial"/>
          <w:i/>
          <w:color w:val="000000" w:themeColor="text1"/>
          <w:sz w:val="20"/>
        </w:rPr>
        <w:t>(per cent of real estate agents; reference quarter: October-December 2016)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331"/>
        <w:gridCol w:w="1166"/>
        <w:gridCol w:w="24"/>
      </w:tblGrid>
      <w:tr w:rsidR="00516D63" w:rsidRPr="00FA205C" w:rsidTr="00E31953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Offers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received too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low for seller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Expecting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prices to rise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No offers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owing to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high price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Property on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market for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too long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Difficulty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obtaining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mortgage</w:t>
            </w: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Unexpected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problems for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seller</w:t>
            </w: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Other</w:t>
            </w:r>
          </w:p>
        </w:tc>
      </w:tr>
      <w:tr w:rsidR="00516D63" w:rsidRPr="00FA205C" w:rsidTr="00E31953">
        <w:trPr>
          <w:gridAfter w:val="1"/>
          <w:wAfter w:w="24" w:type="dxa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42.8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64.7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3.5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45.8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34.4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39.8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65.9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3.8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FA205C">
              <w:tab/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43.9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28.5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23.2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3.6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41.6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36.7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44.6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68.1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3.8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FA205C">
              <w:tab/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50.7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27.3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62.7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23.2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56.4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29.3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62.9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0.0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46.0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62.5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4.3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50.9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29.6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1.1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52.5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64.9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32.0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1.1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spacing w:after="8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50.4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71.2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28.8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1.1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Urban areas (&gt;250,000 inhabitants) (2)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49.2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64.7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29.6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1.9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44.6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66.8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3.4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Metropolitan areas (&gt;500,000 inhabitants) (3)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50.0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62.6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30.7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44.9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27.6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23.2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3.1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FA205C"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46.4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26.2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66.0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23.0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25.5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2.4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2.8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361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memorandum item: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   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Q3 2016</w:t>
            </w:r>
            <w:r w:rsidRPr="00FA205C"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55.3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52.7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20.2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21.7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4.3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Q2 2016</w:t>
            </w:r>
            <w:r w:rsidRPr="00FA205C"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68.8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21.7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52.0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20.8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3.8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1.6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Q1 2016</w:t>
            </w:r>
            <w:r w:rsidRPr="00FA205C"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61.1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23.8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57.0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23.8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3.3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3.5</w:t>
            </w:r>
          </w:p>
        </w:tc>
      </w:tr>
      <w:tr w:rsidR="00516D63" w:rsidRPr="00FA205C" w:rsidTr="00E31953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Q4 2015</w:t>
            </w:r>
            <w:r w:rsidRPr="00FA205C"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59.8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27.8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61.1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28.4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3.4</w:t>
            </w:r>
          </w:p>
        </w:tc>
      </w:tr>
      <w:tr w:rsidR="00516D63" w:rsidRPr="00FA205C" w:rsidTr="00E31953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516D63" w:rsidRPr="00B64862" w:rsidRDefault="00516D63" w:rsidP="00E31953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6"/>
                <w:szCs w:val="16"/>
              </w:rPr>
            </w:pPr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 xml:space="preserve">(1) Since each agent can list up to three reasons for the removal of properties from their books the percentages on each line may sum to more than 100. – (2) Areas with a resident population of over 250,000,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 xml:space="preserve"> labour market areas </w:t>
            </w: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 xml:space="preserve">. The urban areas are Turin, Genoa and Milan in the North-West; Padua, Verona, Venice, Trieste and Bologna in the North-East; Florence and Rome in the Centre; Naples, Bari, Catania, Messina and Palermo in the South and Islands. – (3) Cities or large towns with a resident population of over 500,000,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 xml:space="preserve"> labour market areas </w:t>
            </w: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>. The metropolitan areas are Turin, Genoa, Milan, Rome, Naples and Palermo.</w:t>
            </w:r>
          </w:p>
        </w:tc>
      </w:tr>
    </w:tbl>
    <w:p w:rsidR="00281D5E" w:rsidRDefault="00516D63" w:rsidP="00516D63">
      <w:pPr>
        <w:tabs>
          <w:tab w:val="right" w:pos="13970"/>
        </w:tabs>
      </w:pPr>
      <w:r w:rsidRPr="00FA205C">
        <w:br w:type="page"/>
      </w:r>
      <w:r w:rsidRPr="00FA205C">
        <w:lastRenderedPageBreak/>
        <w:tab/>
      </w:r>
    </w:p>
    <w:p w:rsidR="00516D63" w:rsidRPr="00FA205C" w:rsidRDefault="00516D63" w:rsidP="00281D5E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>Table 7</w:t>
      </w:r>
    </w:p>
    <w:p w:rsidR="00516D63" w:rsidRPr="00FA205C" w:rsidRDefault="00516D63" w:rsidP="00516D6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 xml:space="preserve">Final price paid compared with seller’s initial asking price </w:t>
      </w:r>
      <w:r w:rsidRPr="00FA205C">
        <w:rPr>
          <w:rFonts w:ascii="Arial" w:hAnsi="Arial"/>
          <w:color w:val="000000" w:themeColor="text1"/>
        </w:rPr>
        <w:t>(1)</w:t>
      </w:r>
    </w:p>
    <w:p w:rsidR="00516D63" w:rsidRPr="00FA205C" w:rsidRDefault="00516D63" w:rsidP="00516D6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</w:rPr>
      </w:pPr>
      <w:r w:rsidRPr="00FA205C">
        <w:rPr>
          <w:rFonts w:ascii="Arial" w:hAnsi="Arial"/>
          <w:i/>
          <w:color w:val="000000" w:themeColor="text1"/>
          <w:sz w:val="20"/>
        </w:rPr>
        <w:t>(per cent of real estate agents, unless otherwise indicated; reference quarter: October-December 2016)</w:t>
      </w:r>
    </w:p>
    <w:tbl>
      <w:tblPr>
        <w:tblW w:w="136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4"/>
        <w:gridCol w:w="1092"/>
        <w:gridCol w:w="1086"/>
        <w:gridCol w:w="1100"/>
        <w:gridCol w:w="1092"/>
        <w:gridCol w:w="1084"/>
        <w:gridCol w:w="1100"/>
        <w:gridCol w:w="1134"/>
        <w:gridCol w:w="1134"/>
      </w:tblGrid>
      <w:tr w:rsidR="00516D63" w:rsidRPr="00FA205C" w:rsidTr="00E31953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More than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30%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below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20- 30%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below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10- 20%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below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5- 10%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below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Less than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5% below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The same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or more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Average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reduction (2)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39.7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29.5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11.4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(3)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36.4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27.9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5.7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9.7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43.2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31.3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13.1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FA205C">
              <w:tab/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33.9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36.6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10.3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(3)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33.4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35.5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10.3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34.1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36.9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10.3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FA205C">
              <w:tab/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39.6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32.8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12.6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(3)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41.8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34.4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12.3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37.6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31.5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12.9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38.6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32.3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12.6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(3)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32.8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33.2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10.4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40.7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32.1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13.4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Urban areas (&gt;250,000 inhabitants) (3)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37.2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31.3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10.6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3.9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38.8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33.1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12.3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Metropolitan areas (&gt;500,000 inhabitants) (4)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36.7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31.0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10.4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38.8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33.0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12.1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tabs>
                <w:tab w:val="left" w:pos="1134"/>
                <w:tab w:val="left" w:leader="dot" w:pos="4704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FA205C"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3.2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8.3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38.2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32.4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12.0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6.0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11.6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361"/>
                <w:tab w:val="left" w:leader="dot" w:pos="4704"/>
                <w:tab w:val="left" w:leader="dot" w:pos="6094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memorandum item:       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Q3 2016</w:t>
            </w:r>
            <w:r w:rsidRPr="00FA205C"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15.0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36.1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27.2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10.6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13.0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Q2 2016</w:t>
            </w:r>
            <w:r w:rsidRPr="00FA205C"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20.0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42.1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19.0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10.4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14.5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Q1 2016</w:t>
            </w:r>
            <w:r w:rsidRPr="00FA205C"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4.5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16.2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40.7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24.6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10.4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13.8</w:t>
            </w:r>
          </w:p>
        </w:tc>
      </w:tr>
      <w:tr w:rsidR="00516D63" w:rsidRPr="00FA205C" w:rsidTr="00E31953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Q4 2015</w:t>
            </w:r>
            <w:r w:rsidRPr="00FA205C"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4.2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16.5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43.8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25.9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6.4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100.0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14.2</w:t>
            </w:r>
          </w:p>
        </w:tc>
      </w:tr>
      <w:tr w:rsidR="00516D63" w:rsidRPr="00FA205C" w:rsidTr="00E31953">
        <w:trPr>
          <w:jc w:val="center"/>
        </w:trPr>
        <w:tc>
          <w:tcPr>
            <w:tcW w:w="13666" w:type="dxa"/>
            <w:gridSpan w:val="9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</w:rPr>
            </w:pPr>
            <w:r w:rsidRPr="00FA205C">
              <w:rPr>
                <w:rFonts w:ascii="Arial" w:hAnsi="Arial"/>
                <w:color w:val="000000" w:themeColor="text1"/>
                <w:spacing w:val="-2"/>
                <w:sz w:val="18"/>
              </w:rPr>
              <w:t>(</w:t>
            </w:r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 xml:space="preserve">1) Replies from the agents that reported sales in the reference quarter. – (2) Average reduction (per cent) obtained considering the midpoint of each interval and assuming the value is 0 for the upper response option and 35 for the lower one. – (3) Areas with a resident population of over 250,000,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 xml:space="preserve"> labour market areas </w:t>
            </w: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 xml:space="preserve">. The urban areas are Turin, Genoa and Milan in the North-West; Padua, Verona, Venice, Trieste and Bologna in the North-East; Florence and Rome in the Centre; Naples, Bari, Catania, Messina and Palermo in the South and Islands. – (4) Cities or large towns with a resident population of over 500,000,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 xml:space="preserve"> labour market areas </w:t>
            </w: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>. The metropolitan areas are Turin, Genoa, Milan, Rome, Naples and Palermo.</w:t>
            </w:r>
          </w:p>
        </w:tc>
      </w:tr>
    </w:tbl>
    <w:p w:rsidR="00281D5E" w:rsidRDefault="00516D63" w:rsidP="00516D63">
      <w:pPr>
        <w:tabs>
          <w:tab w:val="right" w:pos="13970"/>
        </w:tabs>
      </w:pPr>
      <w:r w:rsidRPr="00FA205C">
        <w:br w:type="page"/>
      </w:r>
      <w:r w:rsidRPr="00FA205C">
        <w:lastRenderedPageBreak/>
        <w:tab/>
      </w:r>
    </w:p>
    <w:p w:rsidR="00516D63" w:rsidRPr="00FA205C" w:rsidRDefault="00516D63" w:rsidP="00281D5E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>Table 8</w:t>
      </w:r>
    </w:p>
    <w:p w:rsidR="00516D63" w:rsidRPr="00FA205C" w:rsidRDefault="00516D63" w:rsidP="00516D6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 xml:space="preserve">Selling times and mortgage loans </w:t>
      </w:r>
      <w:r w:rsidRPr="00FA205C">
        <w:rPr>
          <w:rFonts w:ascii="Arial" w:hAnsi="Arial"/>
          <w:color w:val="000000" w:themeColor="text1"/>
        </w:rPr>
        <w:t>(1)</w:t>
      </w:r>
    </w:p>
    <w:p w:rsidR="00516D63" w:rsidRPr="00FA205C" w:rsidRDefault="00516D63" w:rsidP="00516D6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</w:rPr>
      </w:pPr>
      <w:r w:rsidRPr="00FA205C">
        <w:rPr>
          <w:rFonts w:ascii="Arial" w:hAnsi="Arial"/>
          <w:i/>
          <w:color w:val="000000" w:themeColor="text1"/>
          <w:sz w:val="20"/>
        </w:rPr>
        <w:t>(months, per cent; reference quarter: October-December 2016)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814"/>
        <w:gridCol w:w="2814"/>
        <w:gridCol w:w="2814"/>
      </w:tblGrid>
      <w:tr w:rsidR="00516D63" w:rsidRPr="00FA205C" w:rsidTr="00E31953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Time from start of listing to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sale </w:t>
            </w:r>
          </w:p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(months)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Percentage of purchases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financed with a mortgage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loan (2)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Loan-to-value ratio of the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property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80.0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75.6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(3)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83.7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76.0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75.2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80.0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76.8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(3)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82.2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75.3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79.3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77.3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78.3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75.0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(3)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80.2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74.2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77.0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75.6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79.0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74.6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(3)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78.8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73.6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79.1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74.9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Urban areas (&gt;250,000 inhabitants) (3)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82.1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75.2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77.8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75.8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Metropolitan areas (&gt;500,000 inhabitants) (4)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82.6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75.2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78.2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75.7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7.7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79.5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75.5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  <w:tab w:val="left" w:leader="dot" w:pos="5371"/>
                <w:tab w:val="left" w:leader="dot" w:pos="5920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memorandum item: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       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Q3 2016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80.2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74.7</w:t>
            </w:r>
          </w:p>
        </w:tc>
      </w:tr>
      <w:tr w:rsidR="00516D63" w:rsidRPr="00FA205C" w:rsidTr="00E31953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Q2 2016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77.1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73.1</w:t>
            </w:r>
          </w:p>
        </w:tc>
      </w:tr>
      <w:tr w:rsidR="00516D63" w:rsidRPr="00FA205C" w:rsidTr="00E31953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Q1 2016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69.3</w:t>
            </w:r>
          </w:p>
        </w:tc>
      </w:tr>
      <w:tr w:rsidR="00516D63" w:rsidRPr="00FA205C" w:rsidTr="00E31953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Q4 2015</w:t>
            </w:r>
            <w:r w:rsidRPr="00FA205C"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68.5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64.7</w:t>
            </w:r>
          </w:p>
        </w:tc>
      </w:tr>
      <w:tr w:rsidR="00516D63" w:rsidRPr="00FA205C" w:rsidTr="00E31953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B64862" w:rsidRDefault="00516D63" w:rsidP="00E31953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 xml:space="preserve">(1) Replies from the agents that reported sales in the reference quarter. – (2) Estimates weighted with the number of house sales declared by the respondents. – (3) Areas with a resident population of over 250,000,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 xml:space="preserve"> labour market areas </w:t>
            </w: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 xml:space="preserve">. The urban areas are Turin, Genoa and Milan in the North-West; Padua, Verona, Venice, Trieste and Bologna in the North-East; Florence and Rome in the Centre; Naples, Bari, Catania, Messina and Palermo in the South and Islands. – (4) Cities or large towns with a resident population of over 500,000,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 xml:space="preserve"> labour market areas </w:t>
            </w: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</w:t>
            </w:r>
            <w:r w:rsidRPr="00B64862">
              <w:rPr>
                <w:rFonts w:ascii="Arial" w:hAnsi="Arial"/>
                <w:color w:val="000000" w:themeColor="text1"/>
                <w:spacing w:val="-2"/>
                <w:sz w:val="16"/>
                <w:szCs w:val="16"/>
              </w:rPr>
              <w:t>. The metropolitan areas are Turin, Genoa, Milan, Rome, Naples and Palermo.</w:t>
            </w:r>
          </w:p>
        </w:tc>
      </w:tr>
    </w:tbl>
    <w:p w:rsidR="00281D5E" w:rsidRDefault="00516D63" w:rsidP="00516D63">
      <w:pPr>
        <w:tabs>
          <w:tab w:val="right" w:pos="13970"/>
        </w:tabs>
      </w:pPr>
      <w:r w:rsidRPr="00FA205C">
        <w:br w:type="page"/>
      </w:r>
      <w:r w:rsidRPr="00FA205C">
        <w:lastRenderedPageBreak/>
        <w:tab/>
      </w:r>
    </w:p>
    <w:p w:rsidR="00516D63" w:rsidRPr="00FA205C" w:rsidRDefault="00516D63" w:rsidP="00281D5E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>Table 9</w:t>
      </w:r>
    </w:p>
    <w:p w:rsidR="00516D63" w:rsidRPr="00FA205C" w:rsidRDefault="00516D63" w:rsidP="00516D6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FA205C">
        <w:rPr>
          <w:rFonts w:ascii="Arial" w:hAnsi="Arial"/>
          <w:b/>
          <w:color w:val="000000" w:themeColor="text1"/>
        </w:rPr>
        <w:t>Assessments of rental prices</w:t>
      </w:r>
      <w:r w:rsidRPr="00FA205C">
        <w:rPr>
          <w:rFonts w:ascii="Arial" w:hAnsi="Arial"/>
          <w:i/>
          <w:color w:val="000000" w:themeColor="text1"/>
          <w:sz w:val="20"/>
        </w:rPr>
        <w:t xml:space="preserve"> </w:t>
      </w:r>
    </w:p>
    <w:p w:rsidR="00516D63" w:rsidRPr="00FA205C" w:rsidRDefault="00516D63" w:rsidP="00516D6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</w:rPr>
      </w:pPr>
      <w:r w:rsidRPr="00FA205C">
        <w:rPr>
          <w:rFonts w:ascii="Arial" w:hAnsi="Arial"/>
          <w:i/>
          <w:color w:val="000000" w:themeColor="text1"/>
          <w:sz w:val="20"/>
        </w:rPr>
        <w:t>(per cent of real-estate agents; reference quarter: October-December 2016; current quarter: January-March 2017)</w:t>
      </w:r>
    </w:p>
    <w:tbl>
      <w:tblPr>
        <w:tblW w:w="1392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549"/>
        <w:gridCol w:w="1238"/>
        <w:gridCol w:w="1237"/>
        <w:gridCol w:w="1238"/>
      </w:tblGrid>
      <w:tr w:rsidR="00516D63" w:rsidRPr="00FA205C" w:rsidTr="00E31953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-70" w:right="-86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Percentage </w:t>
            </w:r>
            <w:r w:rsidRPr="00FA205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of agents </w:t>
            </w:r>
            <w:r w:rsidRPr="00FA205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that rented a </w:t>
            </w:r>
            <w:r w:rsidRPr="00FA205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property in </w:t>
            </w:r>
            <w:r w:rsidRPr="00FA205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the reference </w:t>
            </w:r>
            <w:r w:rsidRPr="00FA205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quarter</w:t>
            </w:r>
          </w:p>
        </w:tc>
        <w:tc>
          <w:tcPr>
            <w:tcW w:w="4024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Rental prices in the reference quarter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compared with the previous 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Expected level of rental prices in the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current quarter compared with the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previous (1)</w:t>
            </w:r>
          </w:p>
        </w:tc>
      </w:tr>
      <w:tr w:rsidR="00516D63" w:rsidRPr="00FA205C" w:rsidTr="00E31953">
        <w:trPr>
          <w:trHeight w:val="436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decreasing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stable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increasing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decreasing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stable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increasing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113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 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86.6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79.9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89.9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85.6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81.7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89.4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2.7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87.6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77.9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90.5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8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FA205C">
              <w:tab/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85.3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81.6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92.7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87.5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83.0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94.4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84.7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81.2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92.1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2.2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8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FA205C">
              <w:tab/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81.1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81.1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85.7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3.4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87.3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80.2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85.7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82.1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85.7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4.5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8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83.7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85.3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4.8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(2)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84.6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83.5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83.7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8.3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72.4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83.8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86.0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3.3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spacing w:before="4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4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4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4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4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4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4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spacing w:before="4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Urban areas (&gt;250,000 inhabitants) (2)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86.2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81.6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88.3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81.1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80.8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89.2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2.8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Metropolitan areas (&gt;500,000 inhabitants) (3)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85.4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81.0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87.4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2.5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82.2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81.2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89.5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3.2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pos="1134"/>
                <w:tab w:val="left" w:leader="dot" w:pos="4997"/>
              </w:tabs>
              <w:spacing w:before="40" w:after="100" w:afterAutospacing="1"/>
              <w:ind w:right="-82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B64862">
              <w:rPr>
                <w:rFonts w:ascii="Arial" w:hAnsi="Arial"/>
                <w:b/>
                <w:color w:val="000000" w:themeColor="text1"/>
                <w:sz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997"/>
              </w:tabs>
              <w:spacing w:before="40" w:after="100" w:afterAutospacing="1"/>
              <w:jc w:val="center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83.2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997"/>
              </w:tabs>
              <w:spacing w:before="40" w:after="100" w:afterAutospacing="1"/>
              <w:jc w:val="center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15.7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997"/>
              </w:tabs>
              <w:spacing w:before="40" w:after="100" w:afterAutospacing="1"/>
              <w:jc w:val="center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81.1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64862" w:rsidRDefault="00516D63" w:rsidP="00E31953">
            <w:pPr>
              <w:tabs>
                <w:tab w:val="left" w:leader="dot" w:pos="4997"/>
              </w:tabs>
              <w:spacing w:before="40" w:after="100" w:afterAutospacing="1"/>
              <w:jc w:val="center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3.2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516D63" w:rsidRPr="00B64862" w:rsidRDefault="00516D63" w:rsidP="00E31953">
            <w:pPr>
              <w:tabs>
                <w:tab w:val="left" w:leader="dot" w:pos="4997"/>
              </w:tabs>
              <w:spacing w:before="40" w:after="100" w:afterAutospacing="1"/>
              <w:jc w:val="center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8.2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516D63" w:rsidRPr="00B64862" w:rsidRDefault="00516D63" w:rsidP="00E31953">
            <w:pPr>
              <w:tabs>
                <w:tab w:val="left" w:leader="dot" w:pos="4997"/>
              </w:tabs>
              <w:spacing w:before="40" w:after="100" w:afterAutospacing="1"/>
              <w:jc w:val="center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88.8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516D63" w:rsidRPr="00B64862" w:rsidRDefault="00516D63" w:rsidP="00E31953">
            <w:pPr>
              <w:tabs>
                <w:tab w:val="left" w:leader="dot" w:pos="4997"/>
              </w:tabs>
              <w:spacing w:before="40" w:after="100" w:afterAutospacing="1"/>
              <w:jc w:val="center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3.0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773"/>
                <w:tab w:val="left" w:leader="dot" w:pos="5056"/>
              </w:tabs>
              <w:spacing w:before="20" w:after="20"/>
              <w:ind w:right="-3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memorandum item:     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Q3 2016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77.9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86.1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Q2 2016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77.7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33.2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62.9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78.4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4.3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Q1 2016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78.1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31.2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64.2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83.4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3.5</w:t>
            </w:r>
          </w:p>
        </w:tc>
      </w:tr>
      <w:tr w:rsidR="00516D63" w:rsidRPr="00FA205C" w:rsidTr="00E31953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Q4 2015</w:t>
            </w:r>
            <w:r w:rsidRPr="00FA205C"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82.4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33.6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81.0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2.7</w:t>
            </w:r>
          </w:p>
        </w:tc>
      </w:tr>
      <w:tr w:rsidR="00516D63" w:rsidRPr="00FA205C" w:rsidTr="00E31953">
        <w:trPr>
          <w:trHeight w:val="56"/>
          <w:jc w:val="center"/>
        </w:trPr>
        <w:tc>
          <w:tcPr>
            <w:tcW w:w="13920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516D63" w:rsidRPr="00B64862" w:rsidRDefault="00516D63" w:rsidP="00E31953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(1) Replies from the agents that rented property in the reference quarter. – (2) Areas with a resident population of over 250,000,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). The urban areas are Turin, Genoa and Milan in the North-West; Padua, Verona, Venice, Trieste and Bologna in the North-East; Florence and Rome in the Centre; Naples, Bari, Catania, Messina and Palermo in the South and Islands. – (3) Cities or large towns with a resident population of over 500,000,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). The metropolitan areas are Turin, Genoa, Milan, Rome, Naples and Palermo.</w:t>
            </w:r>
          </w:p>
        </w:tc>
      </w:tr>
    </w:tbl>
    <w:p w:rsidR="00281D5E" w:rsidRDefault="00516D63" w:rsidP="00516D63">
      <w:pPr>
        <w:tabs>
          <w:tab w:val="right" w:pos="13970"/>
        </w:tabs>
      </w:pPr>
      <w:r w:rsidRPr="00FA205C">
        <w:br w:type="page"/>
      </w:r>
      <w:r w:rsidRPr="00FA205C">
        <w:lastRenderedPageBreak/>
        <w:tab/>
      </w:r>
    </w:p>
    <w:p w:rsidR="00516D63" w:rsidRPr="00FA205C" w:rsidRDefault="00516D63" w:rsidP="00281D5E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>Table 10</w:t>
      </w:r>
    </w:p>
    <w:p w:rsidR="00516D63" w:rsidRPr="00FA205C" w:rsidRDefault="00516D63" w:rsidP="00516D6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>Letting listings and average discount on rental price requested</w:t>
      </w:r>
    </w:p>
    <w:p w:rsidR="00516D63" w:rsidRPr="00FA205C" w:rsidRDefault="00516D63" w:rsidP="00516D6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</w:rPr>
      </w:pPr>
      <w:r w:rsidRPr="00FA205C">
        <w:rPr>
          <w:rFonts w:ascii="Arial" w:hAnsi="Arial"/>
          <w:i/>
          <w:color w:val="000000" w:themeColor="text1"/>
          <w:sz w:val="20"/>
        </w:rPr>
        <w:t>(per cent of real estate agents, per cent; reference quarter: October-December 2016)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516D63" w:rsidRPr="00FA205C" w:rsidTr="00E31953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B323D6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Number of new letting listings received in the quarter compared with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the previous 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Average discount on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rental price originally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asked by owner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lower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same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higher</w:t>
            </w:r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right="14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616"/>
              </w:tabs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4.8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3.9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5.6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FA205C">
              <w:tab/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76.1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4.4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72.8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5.1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77.1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4.2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FA205C">
              <w:tab/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5.8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6.6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4.9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68.9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6.2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4.5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21.3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997"/>
              </w:tabs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6.9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60"/>
              </w:tabs>
              <w:spacing w:before="10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Urban areas (&gt;250,000 inhabitants) (1)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4.9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5.3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60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Metropolitan areas (&gt;500,000 inhabitants) (2)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5.0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5.2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7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FA205C"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16.9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73.9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9.2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79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5.2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 memorandum item:  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Q3 2016</w:t>
            </w:r>
            <w:r w:rsidRPr="00FA205C"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23.8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65.2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5.8</w:t>
            </w:r>
          </w:p>
        </w:tc>
      </w:tr>
      <w:tr w:rsidR="00516D63" w:rsidRPr="00FA205C" w:rsidTr="00E31953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Q2 2016</w:t>
            </w:r>
            <w:r w:rsidRPr="00FA205C"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28.2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60.5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6.9</w:t>
            </w:r>
          </w:p>
        </w:tc>
      </w:tr>
      <w:tr w:rsidR="00516D63" w:rsidRPr="00FA205C" w:rsidTr="00E31953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Q1 2016</w:t>
            </w:r>
            <w:r w:rsidRPr="00FA205C"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23.3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6.5</w:t>
            </w:r>
          </w:p>
        </w:tc>
      </w:tr>
      <w:tr w:rsidR="00516D63" w:rsidRPr="00FA205C" w:rsidTr="00E31953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Q4 2015</w:t>
            </w:r>
            <w:r w:rsidRPr="00FA205C"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23.7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63.5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6.3</w:t>
            </w:r>
          </w:p>
        </w:tc>
      </w:tr>
      <w:tr w:rsidR="00516D63" w:rsidRPr="00FA205C" w:rsidTr="00E31953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516D63" w:rsidRPr="00B64862" w:rsidRDefault="00516D63" w:rsidP="00E31953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(1) Areas with a resident population of over 250,000,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). The urban areas are Turin, Genoa and Milan in the North-West; Padua, Verona, Venice, Trieste and Bologna in the North-East; Florence and Rome in the Centre; Naples, Bari, Catania, Messina and Palermo in the South and Islands. – (2) Cities or large towns with a resident population of over 500,000,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). The metropolitan areas are Turin, Genoa, Milan, Rome, Naples and Palermo.</w:t>
            </w:r>
          </w:p>
        </w:tc>
      </w:tr>
    </w:tbl>
    <w:p w:rsidR="00281D5E" w:rsidRDefault="00516D63" w:rsidP="00516D63">
      <w:pPr>
        <w:tabs>
          <w:tab w:val="right" w:pos="13970"/>
        </w:tabs>
      </w:pPr>
      <w:r w:rsidRPr="00FA205C">
        <w:br w:type="page"/>
      </w:r>
      <w:r w:rsidRPr="00FA205C">
        <w:lastRenderedPageBreak/>
        <w:tab/>
      </w:r>
    </w:p>
    <w:p w:rsidR="00516D63" w:rsidRPr="00FA205C" w:rsidRDefault="00516D63" w:rsidP="00281D5E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>Table 11</w:t>
      </w:r>
    </w:p>
    <w:p w:rsidR="00516D63" w:rsidRPr="00FA205C" w:rsidRDefault="00516D63" w:rsidP="00516D6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>Outlook for the agents’ own market</w:t>
      </w:r>
    </w:p>
    <w:p w:rsidR="00516D63" w:rsidRPr="00FA205C" w:rsidRDefault="00516D63" w:rsidP="00516D6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</w:rPr>
      </w:pPr>
      <w:r w:rsidRPr="00FA205C">
        <w:rPr>
          <w:rFonts w:ascii="Arial" w:hAnsi="Arial"/>
          <w:i/>
          <w:color w:val="000000" w:themeColor="text1"/>
        </w:rPr>
        <w:t xml:space="preserve"> </w:t>
      </w:r>
      <w:r w:rsidRPr="00FA205C">
        <w:rPr>
          <w:rFonts w:ascii="Arial" w:hAnsi="Arial"/>
          <w:i/>
          <w:color w:val="000000" w:themeColor="text1"/>
          <w:sz w:val="20"/>
        </w:rPr>
        <w:t>(per cent of real estate agents; reference quarter:</w:t>
      </w:r>
      <w:bookmarkStart w:id="1" w:name="OLE_LINK1"/>
      <w:r w:rsidRPr="00FA205C">
        <w:rPr>
          <w:rFonts w:ascii="Arial" w:hAnsi="Arial"/>
          <w:i/>
          <w:color w:val="000000" w:themeColor="text1"/>
          <w:sz w:val="20"/>
        </w:rPr>
        <w:t xml:space="preserve"> </w:t>
      </w:r>
      <w:bookmarkEnd w:id="1"/>
      <w:r w:rsidRPr="00FA205C">
        <w:rPr>
          <w:rFonts w:ascii="Arial" w:hAnsi="Arial"/>
          <w:i/>
          <w:color w:val="000000" w:themeColor="text1"/>
          <w:sz w:val="20"/>
        </w:rPr>
        <w:t>October-December 2016; current quarter: January-March 2017)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2"/>
        <w:gridCol w:w="980"/>
        <w:gridCol w:w="980"/>
        <w:gridCol w:w="10"/>
        <w:gridCol w:w="970"/>
        <w:gridCol w:w="980"/>
        <w:gridCol w:w="985"/>
        <w:gridCol w:w="980"/>
        <w:gridCol w:w="980"/>
        <w:gridCol w:w="973"/>
      </w:tblGrid>
      <w:tr w:rsidR="00516D63" w:rsidRPr="00FA205C" w:rsidTr="00E31953">
        <w:trPr>
          <w:jc w:val="center"/>
        </w:trPr>
        <w:tc>
          <w:tcPr>
            <w:tcW w:w="4788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952" w:type="dxa"/>
            <w:gridSpan w:val="4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Expected conditions on real estate agent’s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own market in current quarter</w:t>
            </w:r>
          </w:p>
        </w:tc>
        <w:tc>
          <w:tcPr>
            <w:tcW w:w="2935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pacing w:val="-8"/>
                <w:sz w:val="20"/>
              </w:rPr>
              <w:t xml:space="preserve">Expected number of newly </w:t>
            </w:r>
            <w:r w:rsidRPr="00FA205C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pacing w:val="-8"/>
                <w:sz w:val="20"/>
              </w:rPr>
              <w:t xml:space="preserve">listed properties in current </w:t>
            </w:r>
            <w:r w:rsidRPr="00FA205C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pacing w:val="-8"/>
                <w:sz w:val="20"/>
              </w:rPr>
              <w:t xml:space="preserve">quarter compared with reference </w:t>
            </w:r>
            <w:r w:rsidRPr="00FA205C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pacing w:val="-8"/>
                <w:sz w:val="20"/>
              </w:rPr>
              <w:t>quarter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Expected level of prices in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current quarter compared with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reference quarter</w:t>
            </w:r>
            <w:r w:rsidRPr="00FA205C">
              <w:rPr>
                <w:rFonts w:ascii="Arial" w:hAnsi="Arial"/>
                <w:color w:val="000000" w:themeColor="text1"/>
                <w:sz w:val="20"/>
                <w:vertAlign w:val="superscript"/>
              </w:rPr>
              <w:t xml:space="preserve"> 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vMerge/>
            <w:tcBorders>
              <w:left w:val="nil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ind w:left="-94" w:right="-56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pacing w:val="-10"/>
                <w:sz w:val="20"/>
              </w:rPr>
              <w:t>poor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pacing w:val="-10"/>
                <w:sz w:val="20"/>
              </w:rPr>
              <w:t>normal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ind w:left="-72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pacing w:val="-10"/>
                <w:sz w:val="20"/>
              </w:rPr>
              <w:t>good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pacing w:val="-10"/>
                <w:sz w:val="20"/>
              </w:rPr>
              <w:t>lower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pacing w:val="-10"/>
                <w:sz w:val="20"/>
              </w:rPr>
              <w:t>same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pacing w:val="-10"/>
                <w:sz w:val="20"/>
              </w:rPr>
              <w:t>higher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pacing w:val="-10"/>
                <w:sz w:val="20"/>
              </w:rPr>
              <w:t>lower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pacing w:val="-10"/>
                <w:sz w:val="20"/>
              </w:rPr>
              <w:t>same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pacing w:val="-10"/>
                <w:sz w:val="20"/>
              </w:rPr>
              <w:t>higher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70.8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71.5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2.4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78.9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3.3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21.0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66.1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29.5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68.9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1.5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FA205C">
              <w:tab/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79.1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2.1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70.6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77.7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2.9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79.5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1.9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72.0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5.7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79.6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5.7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70.1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28.6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65.8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5.6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71.8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66.2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74.0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1.8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79.8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21.8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77.6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0.6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15.6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72.8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pos="667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Urban areas (&gt;250,000 inhabitants) (1)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78.2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21.3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3.7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70.7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66.9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71.9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2.7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Metropolitan areas (&gt;500,000 inhabitants) (2)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79.5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75.4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4.1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71.1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18.6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60"/>
              </w:tabs>
              <w:spacing w:after="20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FA205C"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9.4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73.6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16.9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13.2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69.6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17.2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23.8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73.1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3.1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3746"/>
                <w:tab w:val="left" w:leader="dot" w:pos="4591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memorandum item:       </w:t>
            </w:r>
          </w:p>
        </w:tc>
        <w:tc>
          <w:tcPr>
            <w:tcW w:w="98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  <w:tab w:val="left" w:pos="667"/>
              </w:tabs>
              <w:spacing w:after="20"/>
              <w:ind w:left="-5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Q3 2016</w:t>
            </w:r>
            <w:r w:rsidRPr="00FA205C"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64.7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22.4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65.7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30.5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67.6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1.9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Q2 2016</w:t>
            </w:r>
            <w:r w:rsidRPr="00FA205C"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70.3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11.8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39.2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59.1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1.7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Q1 2016</w:t>
            </w:r>
            <w:r w:rsidRPr="00FA205C"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71.0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21.4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69.4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31.8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64.7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3.5</w:t>
            </w:r>
          </w:p>
        </w:tc>
      </w:tr>
      <w:tr w:rsidR="00516D63" w:rsidRPr="00FA205C" w:rsidTr="00E31953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Q4 2015</w:t>
            </w:r>
            <w:r w:rsidRPr="00FA205C"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65.3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25.3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66.7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35.2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62.5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2.3</w:t>
            </w:r>
          </w:p>
        </w:tc>
      </w:tr>
      <w:tr w:rsidR="00516D63" w:rsidRPr="00FA205C" w:rsidTr="00E31953">
        <w:trPr>
          <w:jc w:val="center"/>
        </w:trPr>
        <w:tc>
          <w:tcPr>
            <w:tcW w:w="13608" w:type="dxa"/>
            <w:gridSpan w:val="11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B64862" w:rsidRDefault="00516D63" w:rsidP="00E31953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(1) Areas with a resident population of over 250,000,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). The urban areas are Turin, Genoa and Milan in the North-West; Padua, Verona, Venice, Trieste and Bologna in the North-East; Florence and Rome in the Centre; Naples, Bari, Catania, Messina and Palermo in the South and Islands. – (2) Cities or large towns with a resident population of over 500,000, including </w:t>
            </w:r>
            <w:r w:rsidRPr="00B64862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</w: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). The metropolitan areas are Turin, Genoa, Milan, Rome, Naples and Palermo.</w:t>
            </w:r>
          </w:p>
        </w:tc>
      </w:tr>
    </w:tbl>
    <w:p w:rsidR="00281D5E" w:rsidRDefault="00516D63" w:rsidP="00516D63">
      <w:pPr>
        <w:tabs>
          <w:tab w:val="right" w:pos="13970"/>
        </w:tabs>
      </w:pPr>
      <w:r w:rsidRPr="00FA205C">
        <w:br w:type="page"/>
      </w:r>
      <w:r w:rsidRPr="00FA205C">
        <w:lastRenderedPageBreak/>
        <w:tab/>
      </w:r>
    </w:p>
    <w:p w:rsidR="00516D63" w:rsidRPr="00FA205C" w:rsidRDefault="00516D63" w:rsidP="00281D5E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>Table 12</w:t>
      </w:r>
    </w:p>
    <w:p w:rsidR="00516D63" w:rsidRPr="00FA205C" w:rsidRDefault="00516D63" w:rsidP="00516D6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</w:rPr>
      </w:pPr>
      <w:r w:rsidRPr="00FA205C">
        <w:rPr>
          <w:rFonts w:ascii="Arial" w:hAnsi="Arial"/>
          <w:b/>
          <w:color w:val="000000" w:themeColor="text1"/>
        </w:rPr>
        <w:t xml:space="preserve">General situation of the property market in Italy </w:t>
      </w:r>
    </w:p>
    <w:p w:rsidR="00516D63" w:rsidRPr="00FA205C" w:rsidRDefault="00516D63" w:rsidP="00516D6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</w:rPr>
      </w:pPr>
      <w:r w:rsidRPr="00FA205C">
        <w:rPr>
          <w:rFonts w:ascii="Arial" w:hAnsi="Arial"/>
          <w:i/>
          <w:color w:val="000000" w:themeColor="text1"/>
          <w:sz w:val="20"/>
        </w:rPr>
        <w:t>(per cent of real estate agents; reference quarter: October-December 2016; current quarter: January-March 2017)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516D63" w:rsidRPr="00FA205C" w:rsidTr="00E31953">
        <w:trPr>
          <w:jc w:val="center"/>
        </w:trPr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Outlook for current quarter compared with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reference quarter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 xml:space="preserve">Outlook for next two years compared with </w:t>
            </w:r>
            <w:r w:rsidRPr="00FA20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reference quarter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vMerge/>
            <w:tcBorders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worse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same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better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worse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same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516D63" w:rsidRPr="00FA205C" w:rsidRDefault="00516D63" w:rsidP="00E31953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better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40" w:after="4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geographical area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 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North-West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60.2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31.5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47.3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46.8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61.0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31.8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5.6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43.6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50.8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59.3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31.2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51.2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42.6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North-East</w:t>
            </w:r>
            <w:r w:rsidRPr="00FA205C">
              <w:tab/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860"/>
              </w:tabs>
              <w:spacing w:before="10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27.3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860"/>
              </w:tabs>
              <w:spacing w:before="10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51.2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41.4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20.5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46.0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44.6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29.3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6.8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52.8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40.4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Centre</w:t>
            </w:r>
            <w:r w:rsidRPr="00FA205C">
              <w:tab/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860"/>
              </w:tabs>
              <w:spacing w:before="10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62.8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860"/>
              </w:tabs>
              <w:spacing w:before="10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13.1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47.8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39.1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>of which:</w:t>
            </w:r>
            <w:r w:rsidRPr="00FA205C">
              <w:t xml:space="preserve">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64.4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16.2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45.1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38.7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61.4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50.2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39.4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South and Islands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860"/>
              </w:tabs>
              <w:spacing w:before="10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64.2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  <w:tab w:val="left" w:leader="dot" w:pos="4860"/>
              </w:tabs>
              <w:spacing w:before="10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8.1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45.4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46.5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of which: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urban areas (1)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2.6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73.4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24.1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1.5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43.8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54.7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tab/>
            </w:r>
            <w:r w:rsidRPr="00FA205C">
              <w:tab/>
              <w:t xml:space="preserve">  </w:t>
            </w:r>
            <w:r w:rsidRPr="00FA205C">
              <w:rPr>
                <w:rFonts w:ascii="Arial" w:hAnsi="Arial"/>
                <w:color w:val="000000" w:themeColor="text1"/>
                <w:sz w:val="20"/>
              </w:rPr>
              <w:t>non-urban areas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60.9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26.9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46.0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43.7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08"/>
              </w:tabs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By resident population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389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Urban areas (&gt;250,000 inhabitants) (1)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25.4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44.4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46.8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Non-urban areas (≤250,000 inhabitants)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61.2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28.7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50.3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41.5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0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Metropolitan areas (&gt;500,000 inhabitants) (2)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62.4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27.7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7.9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44.9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47.2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Non-metropolitan areas (≤500,000 inhabitants)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62.0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27.3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8.7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49.3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42.0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2" w:name="_Hlk370722812"/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 xml:space="preserve">  Total</w:t>
            </w:r>
            <w:r w:rsidRPr="00FA205C"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10.4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62.2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27.4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8.4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48.0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b/>
                <w:color w:val="000000" w:themeColor="text1"/>
                <w:sz w:val="20"/>
              </w:rPr>
              <w:t>43.6</w:t>
            </w:r>
          </w:p>
        </w:tc>
      </w:tr>
      <w:bookmarkEnd w:id="2"/>
      <w:tr w:rsidR="00516D63" w:rsidRPr="00FA205C" w:rsidTr="00E31953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leader="dot" w:pos="4808"/>
                <w:tab w:val="left" w:leader="dot" w:pos="5558"/>
                <w:tab w:val="left" w:leader="dot" w:pos="5843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i/>
                <w:color w:val="000000" w:themeColor="text1"/>
                <w:sz w:val="20"/>
              </w:rPr>
              <w:t xml:space="preserve">memorandum item:  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Q3 2016</w:t>
            </w:r>
            <w:r w:rsidRPr="00FA205C"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14.1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63.7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22.2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11.6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41.5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46.9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Q2 2016</w:t>
            </w:r>
            <w:r w:rsidRPr="00FA205C"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70.4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12.5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17.2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36.9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45.8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Q1 2016</w:t>
            </w:r>
            <w:r w:rsidRPr="00FA205C"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9.2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72.4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18.4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9.8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34.0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56.2</w:t>
            </w:r>
          </w:p>
        </w:tc>
      </w:tr>
      <w:tr w:rsidR="00516D63" w:rsidRPr="00FA205C" w:rsidTr="00E31953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Q4 2015</w:t>
            </w:r>
            <w:r w:rsidRPr="00FA205C"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10.9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70.1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19.0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10.5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33.6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16D63" w:rsidRPr="00FA205C" w:rsidRDefault="00516D63" w:rsidP="00E3195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A205C">
              <w:rPr>
                <w:rFonts w:ascii="Arial" w:hAnsi="Arial"/>
                <w:color w:val="000000" w:themeColor="text1"/>
                <w:sz w:val="20"/>
              </w:rPr>
              <w:t>55.9</w:t>
            </w:r>
          </w:p>
        </w:tc>
      </w:tr>
      <w:tr w:rsidR="00516D63" w:rsidRPr="002F3533" w:rsidTr="00E31953">
        <w:trPr>
          <w:jc w:val="center"/>
        </w:trPr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516D63" w:rsidRPr="00B64862" w:rsidRDefault="00516D63" w:rsidP="00E31953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A205C">
              <w:rPr>
                <w:rFonts w:ascii="Arial" w:hAnsi="Arial"/>
                <w:color w:val="000000" w:themeColor="text1"/>
                <w:sz w:val="18"/>
              </w:rPr>
              <w:t xml:space="preserve"> </w:t>
            </w:r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(1) Areas with a resident population of over 250,000,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). The urban areas are Turin, Genoa and Milan in the North-West; Padua, Verona, Venice, Trieste and Bologna in the North-East; Florence and Rome in the Centre; Naples, Bari, Catania, Messina and Palermo in the South and Islands. – (2) Cities or large towns with a resident population of over 500,000, including not only the administrative area of the main city or town but also the hinterland as identified by </w:t>
            </w:r>
            <w:proofErr w:type="spellStart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Istat’s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 xml:space="preserve"> labour market areas (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sistemi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locali</w:t>
            </w:r>
            <w:proofErr w:type="spellEnd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 xml:space="preserve"> del </w:t>
            </w:r>
            <w:proofErr w:type="spellStart"/>
            <w:r w:rsidRPr="00B64862">
              <w:rPr>
                <w:rFonts w:ascii="Arial" w:hAnsi="Arial"/>
                <w:i/>
                <w:color w:val="000000" w:themeColor="text1"/>
                <w:sz w:val="16"/>
                <w:szCs w:val="16"/>
              </w:rPr>
              <w:t>lavoro</w:t>
            </w:r>
            <w:proofErr w:type="spellEnd"/>
            <w:r w:rsidRPr="00B64862">
              <w:rPr>
                <w:rFonts w:ascii="Arial" w:hAnsi="Arial"/>
                <w:color w:val="000000" w:themeColor="text1"/>
                <w:sz w:val="16"/>
                <w:szCs w:val="16"/>
              </w:rPr>
              <w:t>). The metropolitan areas are Turin, Genoa, Milan, Rome, Naples and Palermo.</w:t>
            </w:r>
          </w:p>
        </w:tc>
      </w:tr>
    </w:tbl>
    <w:p w:rsidR="00516D63" w:rsidRPr="00235346" w:rsidRDefault="00516D63" w:rsidP="00867597">
      <w:pPr>
        <w:pStyle w:val="Rientrocorpodeltesto"/>
        <w:ind w:right="218"/>
        <w:jc w:val="right"/>
        <w:rPr>
          <w:b/>
          <w:highlight w:val="lightGray"/>
        </w:rPr>
      </w:pPr>
    </w:p>
    <w:sectPr w:rsidR="00516D63" w:rsidRPr="00235346" w:rsidSect="00773EB1">
      <w:pgSz w:w="16840" w:h="11906" w:orient="landscape"/>
      <w:pgMar w:top="280" w:right="1560" w:bottom="1133" w:left="14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0D5" w:rsidRDefault="006620D5">
      <w:r>
        <w:separator/>
      </w:r>
    </w:p>
  </w:endnote>
  <w:endnote w:type="continuationSeparator" w:id="0">
    <w:p w:rsidR="006620D5" w:rsidRDefault="00662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set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0996"/>
      <w:docPartObj>
        <w:docPartGallery w:val="Page Numbers (Bottom of Page)"/>
        <w:docPartUnique/>
      </w:docPartObj>
    </w:sdtPr>
    <w:sdtEndPr/>
    <w:sdtContent>
      <w:p w:rsidR="006620D5" w:rsidRDefault="006620D5" w:rsidP="0036497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B9E">
          <w:rPr>
            <w:noProof/>
          </w:rPr>
          <w:t>1</w:t>
        </w:r>
        <w:r>
          <w:fldChar w:fldCharType="end"/>
        </w:r>
      </w:p>
    </w:sdtContent>
  </w:sdt>
  <w:p w:rsidR="006620D5" w:rsidRDefault="006620D5">
    <w:pPr>
      <w:pStyle w:val="Pidipagina"/>
      <w:ind w:right="360" w:firstLine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0D5" w:rsidRDefault="006620D5">
      <w:r>
        <w:separator/>
      </w:r>
    </w:p>
  </w:footnote>
  <w:footnote w:type="continuationSeparator" w:id="0">
    <w:p w:rsidR="006620D5" w:rsidRDefault="00662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585"/>
    <w:multiLevelType w:val="hybridMultilevel"/>
    <w:tmpl w:val="6A6AF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0310E"/>
    <w:multiLevelType w:val="hybridMultilevel"/>
    <w:tmpl w:val="C0E6D79C"/>
    <w:lvl w:ilvl="0" w:tplc="F1DC1E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FF2"/>
    <w:multiLevelType w:val="hybridMultilevel"/>
    <w:tmpl w:val="AD1212CE"/>
    <w:lvl w:ilvl="0" w:tplc="1BC808EC">
      <w:start w:val="1"/>
      <w:numFmt w:val="decimal"/>
      <w:lvlText w:val="(%1)"/>
      <w:lvlJc w:val="left"/>
      <w:pPr>
        <w:ind w:left="4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2" w:hanging="360"/>
      </w:pPr>
    </w:lvl>
    <w:lvl w:ilvl="2" w:tplc="0410001B" w:tentative="1">
      <w:start w:val="1"/>
      <w:numFmt w:val="lowerRoman"/>
      <w:lvlText w:val="%3."/>
      <w:lvlJc w:val="right"/>
      <w:pPr>
        <w:ind w:left="1862" w:hanging="180"/>
      </w:pPr>
    </w:lvl>
    <w:lvl w:ilvl="3" w:tplc="0410000F" w:tentative="1">
      <w:start w:val="1"/>
      <w:numFmt w:val="decimal"/>
      <w:lvlText w:val="%4."/>
      <w:lvlJc w:val="left"/>
      <w:pPr>
        <w:ind w:left="2582" w:hanging="360"/>
      </w:pPr>
    </w:lvl>
    <w:lvl w:ilvl="4" w:tplc="04100019" w:tentative="1">
      <w:start w:val="1"/>
      <w:numFmt w:val="lowerLetter"/>
      <w:lvlText w:val="%5."/>
      <w:lvlJc w:val="left"/>
      <w:pPr>
        <w:ind w:left="3302" w:hanging="360"/>
      </w:pPr>
    </w:lvl>
    <w:lvl w:ilvl="5" w:tplc="0410001B" w:tentative="1">
      <w:start w:val="1"/>
      <w:numFmt w:val="lowerRoman"/>
      <w:lvlText w:val="%6."/>
      <w:lvlJc w:val="right"/>
      <w:pPr>
        <w:ind w:left="4022" w:hanging="180"/>
      </w:pPr>
    </w:lvl>
    <w:lvl w:ilvl="6" w:tplc="0410000F" w:tentative="1">
      <w:start w:val="1"/>
      <w:numFmt w:val="decimal"/>
      <w:lvlText w:val="%7."/>
      <w:lvlJc w:val="left"/>
      <w:pPr>
        <w:ind w:left="4742" w:hanging="360"/>
      </w:pPr>
    </w:lvl>
    <w:lvl w:ilvl="7" w:tplc="04100019" w:tentative="1">
      <w:start w:val="1"/>
      <w:numFmt w:val="lowerLetter"/>
      <w:lvlText w:val="%8."/>
      <w:lvlJc w:val="left"/>
      <w:pPr>
        <w:ind w:left="5462" w:hanging="360"/>
      </w:pPr>
    </w:lvl>
    <w:lvl w:ilvl="8" w:tplc="0410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">
    <w:nsid w:val="1E5A2C5E"/>
    <w:multiLevelType w:val="hybridMultilevel"/>
    <w:tmpl w:val="98EC1E7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F231A4"/>
    <w:multiLevelType w:val="hybridMultilevel"/>
    <w:tmpl w:val="7452D210"/>
    <w:lvl w:ilvl="0" w:tplc="2B62B01A"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8A97548"/>
    <w:multiLevelType w:val="hybridMultilevel"/>
    <w:tmpl w:val="08A63EB4"/>
    <w:lvl w:ilvl="0" w:tplc="CDA6F89C">
      <w:start w:val="1"/>
      <w:numFmt w:val="decimal"/>
      <w:lvlText w:val="(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4F704C9B"/>
    <w:multiLevelType w:val="hybridMultilevel"/>
    <w:tmpl w:val="226CF4F4"/>
    <w:lvl w:ilvl="0" w:tplc="C0FAC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F2B1D"/>
    <w:multiLevelType w:val="hybridMultilevel"/>
    <w:tmpl w:val="45C63AD4"/>
    <w:lvl w:ilvl="0" w:tplc="53A20432">
      <w:start w:val="1"/>
      <w:numFmt w:val="decimal"/>
      <w:lvlText w:val="(%1)"/>
      <w:lvlJc w:val="left"/>
      <w:pPr>
        <w:ind w:hanging="308"/>
      </w:pPr>
      <w:rPr>
        <w:rFonts w:ascii="Arial" w:eastAsia="Arial" w:hAnsi="Arial" w:hint="default"/>
        <w:color w:val="231F20"/>
        <w:w w:val="104"/>
        <w:sz w:val="20"/>
        <w:szCs w:val="20"/>
      </w:rPr>
    </w:lvl>
    <w:lvl w:ilvl="1" w:tplc="6A8E2300">
      <w:start w:val="1"/>
      <w:numFmt w:val="lowerLetter"/>
      <w:lvlText w:val="%2."/>
      <w:lvlJc w:val="left"/>
      <w:pPr>
        <w:ind w:hanging="197"/>
      </w:pPr>
      <w:rPr>
        <w:rFonts w:ascii="Arial" w:eastAsia="Arial" w:hAnsi="Arial" w:hint="default"/>
        <w:b/>
        <w:bCs/>
        <w:spacing w:val="-1"/>
        <w:w w:val="126"/>
        <w:sz w:val="14"/>
        <w:szCs w:val="14"/>
      </w:rPr>
    </w:lvl>
    <w:lvl w:ilvl="2" w:tplc="26805BD8">
      <w:start w:val="1"/>
      <w:numFmt w:val="bullet"/>
      <w:lvlText w:val="•"/>
      <w:lvlJc w:val="left"/>
      <w:rPr>
        <w:rFonts w:hint="default"/>
      </w:rPr>
    </w:lvl>
    <w:lvl w:ilvl="3" w:tplc="FD821208">
      <w:start w:val="1"/>
      <w:numFmt w:val="bullet"/>
      <w:lvlText w:val="•"/>
      <w:lvlJc w:val="left"/>
      <w:rPr>
        <w:rFonts w:hint="default"/>
      </w:rPr>
    </w:lvl>
    <w:lvl w:ilvl="4" w:tplc="10B2D8BC">
      <w:start w:val="1"/>
      <w:numFmt w:val="bullet"/>
      <w:lvlText w:val="•"/>
      <w:lvlJc w:val="left"/>
      <w:rPr>
        <w:rFonts w:hint="default"/>
      </w:rPr>
    </w:lvl>
    <w:lvl w:ilvl="5" w:tplc="5ED8EE0E">
      <w:start w:val="1"/>
      <w:numFmt w:val="bullet"/>
      <w:lvlText w:val="•"/>
      <w:lvlJc w:val="left"/>
      <w:rPr>
        <w:rFonts w:hint="default"/>
      </w:rPr>
    </w:lvl>
    <w:lvl w:ilvl="6" w:tplc="1DE64E4A">
      <w:start w:val="1"/>
      <w:numFmt w:val="bullet"/>
      <w:lvlText w:val="•"/>
      <w:lvlJc w:val="left"/>
      <w:rPr>
        <w:rFonts w:hint="default"/>
      </w:rPr>
    </w:lvl>
    <w:lvl w:ilvl="7" w:tplc="F1F2764E">
      <w:start w:val="1"/>
      <w:numFmt w:val="bullet"/>
      <w:lvlText w:val="•"/>
      <w:lvlJc w:val="left"/>
      <w:rPr>
        <w:rFonts w:hint="default"/>
      </w:rPr>
    </w:lvl>
    <w:lvl w:ilvl="8" w:tplc="059EF53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D854B23"/>
    <w:multiLevelType w:val="hybridMultilevel"/>
    <w:tmpl w:val="8E2EE5C8"/>
    <w:lvl w:ilvl="0" w:tplc="2B62B01A">
      <w:numFmt w:val="bullet"/>
      <w:lvlText w:val="-"/>
      <w:lvlJc w:val="left"/>
      <w:pPr>
        <w:ind w:left="1494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66"/>
    <w:rsid w:val="000008D3"/>
    <w:rsid w:val="0000542E"/>
    <w:rsid w:val="00011C4A"/>
    <w:rsid w:val="00015E7A"/>
    <w:rsid w:val="000169EF"/>
    <w:rsid w:val="000212EC"/>
    <w:rsid w:val="0002158E"/>
    <w:rsid w:val="000278DC"/>
    <w:rsid w:val="00041B21"/>
    <w:rsid w:val="000431F8"/>
    <w:rsid w:val="00056583"/>
    <w:rsid w:val="000574A8"/>
    <w:rsid w:val="0006510F"/>
    <w:rsid w:val="00066B58"/>
    <w:rsid w:val="00075E3C"/>
    <w:rsid w:val="0007779A"/>
    <w:rsid w:val="0008180D"/>
    <w:rsid w:val="0008200E"/>
    <w:rsid w:val="000879FB"/>
    <w:rsid w:val="00092EAD"/>
    <w:rsid w:val="0009460E"/>
    <w:rsid w:val="000B3388"/>
    <w:rsid w:val="000C17A2"/>
    <w:rsid w:val="000C22EB"/>
    <w:rsid w:val="000C5405"/>
    <w:rsid w:val="000C6542"/>
    <w:rsid w:val="000D03D5"/>
    <w:rsid w:val="000D2A85"/>
    <w:rsid w:val="000D4EFB"/>
    <w:rsid w:val="000E0492"/>
    <w:rsid w:val="000E1E02"/>
    <w:rsid w:val="000E3376"/>
    <w:rsid w:val="000E4FF4"/>
    <w:rsid w:val="000F2671"/>
    <w:rsid w:val="00102C24"/>
    <w:rsid w:val="00105446"/>
    <w:rsid w:val="00110476"/>
    <w:rsid w:val="001225B2"/>
    <w:rsid w:val="00124158"/>
    <w:rsid w:val="00125B95"/>
    <w:rsid w:val="00144AE1"/>
    <w:rsid w:val="00151E8F"/>
    <w:rsid w:val="00152052"/>
    <w:rsid w:val="00154631"/>
    <w:rsid w:val="001557AB"/>
    <w:rsid w:val="00156611"/>
    <w:rsid w:val="0016156B"/>
    <w:rsid w:val="001626AE"/>
    <w:rsid w:val="0016632B"/>
    <w:rsid w:val="00166ECC"/>
    <w:rsid w:val="00180561"/>
    <w:rsid w:val="00183863"/>
    <w:rsid w:val="00183AEB"/>
    <w:rsid w:val="001949A6"/>
    <w:rsid w:val="00195C68"/>
    <w:rsid w:val="001A0A67"/>
    <w:rsid w:val="001A0D56"/>
    <w:rsid w:val="001A1BCC"/>
    <w:rsid w:val="001A25FC"/>
    <w:rsid w:val="001A28E6"/>
    <w:rsid w:val="001A35D1"/>
    <w:rsid w:val="001A48CF"/>
    <w:rsid w:val="001A5249"/>
    <w:rsid w:val="001B6767"/>
    <w:rsid w:val="001C0F4F"/>
    <w:rsid w:val="001C194E"/>
    <w:rsid w:val="001C2BB1"/>
    <w:rsid w:val="001C490A"/>
    <w:rsid w:val="001D1663"/>
    <w:rsid w:val="001D47F6"/>
    <w:rsid w:val="001D5D69"/>
    <w:rsid w:val="001D7C05"/>
    <w:rsid w:val="001E65B0"/>
    <w:rsid w:val="001F7D3E"/>
    <w:rsid w:val="002015A7"/>
    <w:rsid w:val="002015B4"/>
    <w:rsid w:val="00201E21"/>
    <w:rsid w:val="00204AFE"/>
    <w:rsid w:val="00211B30"/>
    <w:rsid w:val="00215E93"/>
    <w:rsid w:val="002174F3"/>
    <w:rsid w:val="0022172D"/>
    <w:rsid w:val="0022187F"/>
    <w:rsid w:val="0022461E"/>
    <w:rsid w:val="00225789"/>
    <w:rsid w:val="002274B5"/>
    <w:rsid w:val="00227AFD"/>
    <w:rsid w:val="002310BA"/>
    <w:rsid w:val="002311AF"/>
    <w:rsid w:val="002326EA"/>
    <w:rsid w:val="00234BD9"/>
    <w:rsid w:val="00235346"/>
    <w:rsid w:val="002356A7"/>
    <w:rsid w:val="00235DFB"/>
    <w:rsid w:val="00240C51"/>
    <w:rsid w:val="002411AB"/>
    <w:rsid w:val="002430A1"/>
    <w:rsid w:val="00244ECE"/>
    <w:rsid w:val="002465CF"/>
    <w:rsid w:val="00246CD4"/>
    <w:rsid w:val="00247573"/>
    <w:rsid w:val="002476C2"/>
    <w:rsid w:val="00252590"/>
    <w:rsid w:val="00263B4A"/>
    <w:rsid w:val="00266FCE"/>
    <w:rsid w:val="002718A5"/>
    <w:rsid w:val="00281873"/>
    <w:rsid w:val="00281D5E"/>
    <w:rsid w:val="00284A73"/>
    <w:rsid w:val="002867E8"/>
    <w:rsid w:val="00292E9E"/>
    <w:rsid w:val="00294434"/>
    <w:rsid w:val="00296DFD"/>
    <w:rsid w:val="00297B4C"/>
    <w:rsid w:val="002A23C5"/>
    <w:rsid w:val="002A5133"/>
    <w:rsid w:val="002A7310"/>
    <w:rsid w:val="002A78F2"/>
    <w:rsid w:val="002B7C14"/>
    <w:rsid w:val="002C49B5"/>
    <w:rsid w:val="002C5DCC"/>
    <w:rsid w:val="002E1C6A"/>
    <w:rsid w:val="002E6FF5"/>
    <w:rsid w:val="002F0633"/>
    <w:rsid w:val="002F30BA"/>
    <w:rsid w:val="002F43EC"/>
    <w:rsid w:val="002F6A96"/>
    <w:rsid w:val="003008CB"/>
    <w:rsid w:val="00302CA8"/>
    <w:rsid w:val="00310A60"/>
    <w:rsid w:val="00310B3E"/>
    <w:rsid w:val="00312954"/>
    <w:rsid w:val="0031649A"/>
    <w:rsid w:val="00317689"/>
    <w:rsid w:val="00317C77"/>
    <w:rsid w:val="00317E47"/>
    <w:rsid w:val="00322FB8"/>
    <w:rsid w:val="00324904"/>
    <w:rsid w:val="00325241"/>
    <w:rsid w:val="00326907"/>
    <w:rsid w:val="003303A9"/>
    <w:rsid w:val="003368C0"/>
    <w:rsid w:val="00336E7F"/>
    <w:rsid w:val="0034374A"/>
    <w:rsid w:val="00351D57"/>
    <w:rsid w:val="00362DBA"/>
    <w:rsid w:val="00364975"/>
    <w:rsid w:val="00366176"/>
    <w:rsid w:val="00370659"/>
    <w:rsid w:val="0037245F"/>
    <w:rsid w:val="00372E4C"/>
    <w:rsid w:val="003736E4"/>
    <w:rsid w:val="00373851"/>
    <w:rsid w:val="00382BAC"/>
    <w:rsid w:val="00385652"/>
    <w:rsid w:val="00390C30"/>
    <w:rsid w:val="0039119B"/>
    <w:rsid w:val="0039510D"/>
    <w:rsid w:val="00397BE0"/>
    <w:rsid w:val="003A1054"/>
    <w:rsid w:val="003A45BB"/>
    <w:rsid w:val="003B13E2"/>
    <w:rsid w:val="003B1B42"/>
    <w:rsid w:val="003B3836"/>
    <w:rsid w:val="003B553B"/>
    <w:rsid w:val="003B725B"/>
    <w:rsid w:val="003B7D6E"/>
    <w:rsid w:val="003C247A"/>
    <w:rsid w:val="003C4E3E"/>
    <w:rsid w:val="003C543A"/>
    <w:rsid w:val="003D4311"/>
    <w:rsid w:val="003D6BAD"/>
    <w:rsid w:val="003E1CD8"/>
    <w:rsid w:val="003E54A9"/>
    <w:rsid w:val="003E5FC4"/>
    <w:rsid w:val="003E60C4"/>
    <w:rsid w:val="003F1C12"/>
    <w:rsid w:val="003F4117"/>
    <w:rsid w:val="003F4654"/>
    <w:rsid w:val="00400AF2"/>
    <w:rsid w:val="004019AC"/>
    <w:rsid w:val="004136C0"/>
    <w:rsid w:val="004201FD"/>
    <w:rsid w:val="00424E8C"/>
    <w:rsid w:val="004257FE"/>
    <w:rsid w:val="00426A86"/>
    <w:rsid w:val="0042786B"/>
    <w:rsid w:val="00427989"/>
    <w:rsid w:val="00430314"/>
    <w:rsid w:val="004306FD"/>
    <w:rsid w:val="00430A2B"/>
    <w:rsid w:val="00432307"/>
    <w:rsid w:val="004325DA"/>
    <w:rsid w:val="00435FC4"/>
    <w:rsid w:val="00440FA8"/>
    <w:rsid w:val="00450510"/>
    <w:rsid w:val="004509BA"/>
    <w:rsid w:val="00451A6C"/>
    <w:rsid w:val="00453E2F"/>
    <w:rsid w:val="004565CC"/>
    <w:rsid w:val="00456A8F"/>
    <w:rsid w:val="004640AF"/>
    <w:rsid w:val="00474620"/>
    <w:rsid w:val="004766B3"/>
    <w:rsid w:val="0047749F"/>
    <w:rsid w:val="00477B7D"/>
    <w:rsid w:val="00480DFF"/>
    <w:rsid w:val="004838FF"/>
    <w:rsid w:val="00491153"/>
    <w:rsid w:val="00494B79"/>
    <w:rsid w:val="00496A3A"/>
    <w:rsid w:val="004A0B21"/>
    <w:rsid w:val="004A2EA4"/>
    <w:rsid w:val="004A356F"/>
    <w:rsid w:val="004B10E8"/>
    <w:rsid w:val="004B2F4E"/>
    <w:rsid w:val="004B6361"/>
    <w:rsid w:val="004B743C"/>
    <w:rsid w:val="004C04CA"/>
    <w:rsid w:val="004C4E49"/>
    <w:rsid w:val="004C59CD"/>
    <w:rsid w:val="004C7A18"/>
    <w:rsid w:val="004D3500"/>
    <w:rsid w:val="004D36E2"/>
    <w:rsid w:val="004D3CB0"/>
    <w:rsid w:val="004D3D39"/>
    <w:rsid w:val="004D4D6A"/>
    <w:rsid w:val="004E062E"/>
    <w:rsid w:val="004E1BD1"/>
    <w:rsid w:val="004E41C4"/>
    <w:rsid w:val="004E585C"/>
    <w:rsid w:val="004F1A7B"/>
    <w:rsid w:val="004F5EDD"/>
    <w:rsid w:val="004F6114"/>
    <w:rsid w:val="004F72E3"/>
    <w:rsid w:val="00502F37"/>
    <w:rsid w:val="00504511"/>
    <w:rsid w:val="00505B64"/>
    <w:rsid w:val="0051523C"/>
    <w:rsid w:val="00516D63"/>
    <w:rsid w:val="00524DDE"/>
    <w:rsid w:val="0053229C"/>
    <w:rsid w:val="0053547B"/>
    <w:rsid w:val="00537C47"/>
    <w:rsid w:val="00544CD3"/>
    <w:rsid w:val="005464CE"/>
    <w:rsid w:val="00554EC8"/>
    <w:rsid w:val="0055532F"/>
    <w:rsid w:val="00560D4B"/>
    <w:rsid w:val="00562555"/>
    <w:rsid w:val="00563ED9"/>
    <w:rsid w:val="00564462"/>
    <w:rsid w:val="00566355"/>
    <w:rsid w:val="00566808"/>
    <w:rsid w:val="005754FE"/>
    <w:rsid w:val="005813E9"/>
    <w:rsid w:val="00583BA5"/>
    <w:rsid w:val="00584826"/>
    <w:rsid w:val="005855FB"/>
    <w:rsid w:val="00585C5D"/>
    <w:rsid w:val="00593E81"/>
    <w:rsid w:val="005A0F33"/>
    <w:rsid w:val="005A4FD3"/>
    <w:rsid w:val="005A5456"/>
    <w:rsid w:val="005B1C22"/>
    <w:rsid w:val="005B2B55"/>
    <w:rsid w:val="005B2D3F"/>
    <w:rsid w:val="005B47AD"/>
    <w:rsid w:val="005B4B67"/>
    <w:rsid w:val="005B4BF7"/>
    <w:rsid w:val="005B636F"/>
    <w:rsid w:val="005C0835"/>
    <w:rsid w:val="005C104D"/>
    <w:rsid w:val="005C17A2"/>
    <w:rsid w:val="005C3E30"/>
    <w:rsid w:val="005C699C"/>
    <w:rsid w:val="005D10B3"/>
    <w:rsid w:val="005D7D99"/>
    <w:rsid w:val="005E1DC6"/>
    <w:rsid w:val="005E3C50"/>
    <w:rsid w:val="005E3D68"/>
    <w:rsid w:val="005F088C"/>
    <w:rsid w:val="005F0E9A"/>
    <w:rsid w:val="005F2698"/>
    <w:rsid w:val="005F2926"/>
    <w:rsid w:val="005F650B"/>
    <w:rsid w:val="005F6D34"/>
    <w:rsid w:val="00600525"/>
    <w:rsid w:val="00604E01"/>
    <w:rsid w:val="00610193"/>
    <w:rsid w:val="0061097A"/>
    <w:rsid w:val="006154BE"/>
    <w:rsid w:val="006201EB"/>
    <w:rsid w:val="00620F02"/>
    <w:rsid w:val="006219F3"/>
    <w:rsid w:val="006242E8"/>
    <w:rsid w:val="00625403"/>
    <w:rsid w:val="00626BED"/>
    <w:rsid w:val="00631AF6"/>
    <w:rsid w:val="00632498"/>
    <w:rsid w:val="00634111"/>
    <w:rsid w:val="00634D76"/>
    <w:rsid w:val="006354F5"/>
    <w:rsid w:val="006418D6"/>
    <w:rsid w:val="006423DC"/>
    <w:rsid w:val="0064355A"/>
    <w:rsid w:val="00646262"/>
    <w:rsid w:val="00652295"/>
    <w:rsid w:val="00653BCC"/>
    <w:rsid w:val="0065570D"/>
    <w:rsid w:val="006602A3"/>
    <w:rsid w:val="00661C04"/>
    <w:rsid w:val="006620D5"/>
    <w:rsid w:val="00663166"/>
    <w:rsid w:val="00664A08"/>
    <w:rsid w:val="0066649F"/>
    <w:rsid w:val="00673E73"/>
    <w:rsid w:val="00681F3A"/>
    <w:rsid w:val="006858E6"/>
    <w:rsid w:val="0068615E"/>
    <w:rsid w:val="0068759B"/>
    <w:rsid w:val="006905D0"/>
    <w:rsid w:val="0069253B"/>
    <w:rsid w:val="00697E78"/>
    <w:rsid w:val="006A3185"/>
    <w:rsid w:val="006A4F0D"/>
    <w:rsid w:val="006A63A8"/>
    <w:rsid w:val="006B1668"/>
    <w:rsid w:val="006B1869"/>
    <w:rsid w:val="006B25FE"/>
    <w:rsid w:val="006B4362"/>
    <w:rsid w:val="006B694E"/>
    <w:rsid w:val="006B7CCF"/>
    <w:rsid w:val="006C5ACD"/>
    <w:rsid w:val="006C797A"/>
    <w:rsid w:val="006D031C"/>
    <w:rsid w:val="006D3009"/>
    <w:rsid w:val="006D54A3"/>
    <w:rsid w:val="006D6917"/>
    <w:rsid w:val="006E3DBA"/>
    <w:rsid w:val="006E5419"/>
    <w:rsid w:val="006E70AA"/>
    <w:rsid w:val="006F598A"/>
    <w:rsid w:val="00704B2B"/>
    <w:rsid w:val="00705547"/>
    <w:rsid w:val="00712FBE"/>
    <w:rsid w:val="00721049"/>
    <w:rsid w:val="0072146E"/>
    <w:rsid w:val="00725F90"/>
    <w:rsid w:val="007273C1"/>
    <w:rsid w:val="00727562"/>
    <w:rsid w:val="007340E0"/>
    <w:rsid w:val="0073786F"/>
    <w:rsid w:val="00743B56"/>
    <w:rsid w:val="007456C6"/>
    <w:rsid w:val="007547FF"/>
    <w:rsid w:val="00757312"/>
    <w:rsid w:val="0076065F"/>
    <w:rsid w:val="007616D0"/>
    <w:rsid w:val="00761C31"/>
    <w:rsid w:val="0076372F"/>
    <w:rsid w:val="00763AE2"/>
    <w:rsid w:val="0076666A"/>
    <w:rsid w:val="00766B19"/>
    <w:rsid w:val="00771A1A"/>
    <w:rsid w:val="00773EB1"/>
    <w:rsid w:val="00773EC9"/>
    <w:rsid w:val="0077544A"/>
    <w:rsid w:val="0077607F"/>
    <w:rsid w:val="0078332F"/>
    <w:rsid w:val="00786ADE"/>
    <w:rsid w:val="00787398"/>
    <w:rsid w:val="00787607"/>
    <w:rsid w:val="00790A0B"/>
    <w:rsid w:val="00791E6E"/>
    <w:rsid w:val="00794374"/>
    <w:rsid w:val="00794D73"/>
    <w:rsid w:val="0079590F"/>
    <w:rsid w:val="007A18C3"/>
    <w:rsid w:val="007A4801"/>
    <w:rsid w:val="007A5485"/>
    <w:rsid w:val="007A6B7C"/>
    <w:rsid w:val="007B6114"/>
    <w:rsid w:val="007B6989"/>
    <w:rsid w:val="007B6E82"/>
    <w:rsid w:val="007C060A"/>
    <w:rsid w:val="007C29EB"/>
    <w:rsid w:val="007C5379"/>
    <w:rsid w:val="007C6F44"/>
    <w:rsid w:val="007D3013"/>
    <w:rsid w:val="007D3C2A"/>
    <w:rsid w:val="007D7790"/>
    <w:rsid w:val="007E02CE"/>
    <w:rsid w:val="007E5B72"/>
    <w:rsid w:val="007F1238"/>
    <w:rsid w:val="007F1612"/>
    <w:rsid w:val="00800C6E"/>
    <w:rsid w:val="00801C07"/>
    <w:rsid w:val="00811431"/>
    <w:rsid w:val="00826FB9"/>
    <w:rsid w:val="0082764A"/>
    <w:rsid w:val="008424FD"/>
    <w:rsid w:val="008469A0"/>
    <w:rsid w:val="00851595"/>
    <w:rsid w:val="00852CFA"/>
    <w:rsid w:val="00854639"/>
    <w:rsid w:val="00855790"/>
    <w:rsid w:val="00855A60"/>
    <w:rsid w:val="00856C33"/>
    <w:rsid w:val="00857439"/>
    <w:rsid w:val="00862F32"/>
    <w:rsid w:val="00867597"/>
    <w:rsid w:val="00870548"/>
    <w:rsid w:val="00871631"/>
    <w:rsid w:val="00877DB2"/>
    <w:rsid w:val="00885719"/>
    <w:rsid w:val="00887B46"/>
    <w:rsid w:val="00891701"/>
    <w:rsid w:val="008962A4"/>
    <w:rsid w:val="0089662E"/>
    <w:rsid w:val="00896C62"/>
    <w:rsid w:val="008A0A73"/>
    <w:rsid w:val="008A43DA"/>
    <w:rsid w:val="008A55A3"/>
    <w:rsid w:val="008A6036"/>
    <w:rsid w:val="008A685B"/>
    <w:rsid w:val="008A687E"/>
    <w:rsid w:val="008A7626"/>
    <w:rsid w:val="008B0E78"/>
    <w:rsid w:val="008C596C"/>
    <w:rsid w:val="008D05CF"/>
    <w:rsid w:val="008D5E66"/>
    <w:rsid w:val="008E03D6"/>
    <w:rsid w:val="008E35EB"/>
    <w:rsid w:val="008E6D0B"/>
    <w:rsid w:val="008F3B7F"/>
    <w:rsid w:val="00902B60"/>
    <w:rsid w:val="00902C9E"/>
    <w:rsid w:val="00903062"/>
    <w:rsid w:val="0090437C"/>
    <w:rsid w:val="00905EF4"/>
    <w:rsid w:val="00906665"/>
    <w:rsid w:val="009106C5"/>
    <w:rsid w:val="0092036C"/>
    <w:rsid w:val="009224BB"/>
    <w:rsid w:val="0092709B"/>
    <w:rsid w:val="009273B4"/>
    <w:rsid w:val="00931433"/>
    <w:rsid w:val="00932DDA"/>
    <w:rsid w:val="009339B5"/>
    <w:rsid w:val="009365C9"/>
    <w:rsid w:val="00936B9E"/>
    <w:rsid w:val="00940B63"/>
    <w:rsid w:val="00941BE9"/>
    <w:rsid w:val="00944CB2"/>
    <w:rsid w:val="00951436"/>
    <w:rsid w:val="0095431F"/>
    <w:rsid w:val="00957491"/>
    <w:rsid w:val="00964972"/>
    <w:rsid w:val="0096586C"/>
    <w:rsid w:val="009669AA"/>
    <w:rsid w:val="009803BE"/>
    <w:rsid w:val="00990491"/>
    <w:rsid w:val="009955EF"/>
    <w:rsid w:val="009B4819"/>
    <w:rsid w:val="009B4EB6"/>
    <w:rsid w:val="009C09A2"/>
    <w:rsid w:val="009C1546"/>
    <w:rsid w:val="009C7197"/>
    <w:rsid w:val="009D1D02"/>
    <w:rsid w:val="009D71D6"/>
    <w:rsid w:val="009D7FE9"/>
    <w:rsid w:val="009E07A9"/>
    <w:rsid w:val="009E09CC"/>
    <w:rsid w:val="009E12AC"/>
    <w:rsid w:val="009E1528"/>
    <w:rsid w:val="009E1FD5"/>
    <w:rsid w:val="009E2F5D"/>
    <w:rsid w:val="009E356A"/>
    <w:rsid w:val="009E4898"/>
    <w:rsid w:val="009F02BB"/>
    <w:rsid w:val="009F02BF"/>
    <w:rsid w:val="009F16AE"/>
    <w:rsid w:val="009F2246"/>
    <w:rsid w:val="009F39C3"/>
    <w:rsid w:val="009F551A"/>
    <w:rsid w:val="009F7BBA"/>
    <w:rsid w:val="009F7E61"/>
    <w:rsid w:val="00A130A7"/>
    <w:rsid w:val="00A13526"/>
    <w:rsid w:val="00A13C30"/>
    <w:rsid w:val="00A16FD4"/>
    <w:rsid w:val="00A206F5"/>
    <w:rsid w:val="00A21EED"/>
    <w:rsid w:val="00A23F55"/>
    <w:rsid w:val="00A247EF"/>
    <w:rsid w:val="00A25BEF"/>
    <w:rsid w:val="00A306CF"/>
    <w:rsid w:val="00A31467"/>
    <w:rsid w:val="00A3404B"/>
    <w:rsid w:val="00A345B2"/>
    <w:rsid w:val="00A34FCC"/>
    <w:rsid w:val="00A44AB2"/>
    <w:rsid w:val="00A512D9"/>
    <w:rsid w:val="00A57530"/>
    <w:rsid w:val="00A610BB"/>
    <w:rsid w:val="00A717F2"/>
    <w:rsid w:val="00A73042"/>
    <w:rsid w:val="00A7595F"/>
    <w:rsid w:val="00A75D8D"/>
    <w:rsid w:val="00A760B2"/>
    <w:rsid w:val="00A8365A"/>
    <w:rsid w:val="00A86B5A"/>
    <w:rsid w:val="00A8733E"/>
    <w:rsid w:val="00AA4842"/>
    <w:rsid w:val="00AA5455"/>
    <w:rsid w:val="00AA7DD1"/>
    <w:rsid w:val="00AB31B1"/>
    <w:rsid w:val="00AB3F45"/>
    <w:rsid w:val="00AB6F75"/>
    <w:rsid w:val="00AC25D0"/>
    <w:rsid w:val="00AC4FBC"/>
    <w:rsid w:val="00AC701D"/>
    <w:rsid w:val="00AD1EF9"/>
    <w:rsid w:val="00AD3A30"/>
    <w:rsid w:val="00AD7F9F"/>
    <w:rsid w:val="00AE2FEF"/>
    <w:rsid w:val="00AE4F19"/>
    <w:rsid w:val="00AF2593"/>
    <w:rsid w:val="00AF766A"/>
    <w:rsid w:val="00B04E43"/>
    <w:rsid w:val="00B125D1"/>
    <w:rsid w:val="00B14EAB"/>
    <w:rsid w:val="00B15A2F"/>
    <w:rsid w:val="00B209FB"/>
    <w:rsid w:val="00B211F1"/>
    <w:rsid w:val="00B217A1"/>
    <w:rsid w:val="00B22376"/>
    <w:rsid w:val="00B22F0F"/>
    <w:rsid w:val="00B25ABF"/>
    <w:rsid w:val="00B26B8B"/>
    <w:rsid w:val="00B30AEA"/>
    <w:rsid w:val="00B34F28"/>
    <w:rsid w:val="00B3639B"/>
    <w:rsid w:val="00B36ED5"/>
    <w:rsid w:val="00B379C9"/>
    <w:rsid w:val="00B40C4A"/>
    <w:rsid w:val="00B4370F"/>
    <w:rsid w:val="00B44EA7"/>
    <w:rsid w:val="00B459CE"/>
    <w:rsid w:val="00B45CA7"/>
    <w:rsid w:val="00B46F77"/>
    <w:rsid w:val="00B5091C"/>
    <w:rsid w:val="00B53B16"/>
    <w:rsid w:val="00B555F9"/>
    <w:rsid w:val="00B56A5D"/>
    <w:rsid w:val="00B61E23"/>
    <w:rsid w:val="00B64A9D"/>
    <w:rsid w:val="00B64DEF"/>
    <w:rsid w:val="00B670CB"/>
    <w:rsid w:val="00B70A66"/>
    <w:rsid w:val="00B82486"/>
    <w:rsid w:val="00B8458F"/>
    <w:rsid w:val="00B84AF0"/>
    <w:rsid w:val="00B84D70"/>
    <w:rsid w:val="00B8698D"/>
    <w:rsid w:val="00B871BF"/>
    <w:rsid w:val="00B908F3"/>
    <w:rsid w:val="00B92DB2"/>
    <w:rsid w:val="00B92E60"/>
    <w:rsid w:val="00B96BCC"/>
    <w:rsid w:val="00B97657"/>
    <w:rsid w:val="00BA01C0"/>
    <w:rsid w:val="00BA1178"/>
    <w:rsid w:val="00BA3447"/>
    <w:rsid w:val="00BA5894"/>
    <w:rsid w:val="00BA78BD"/>
    <w:rsid w:val="00BA7CB4"/>
    <w:rsid w:val="00BB0E89"/>
    <w:rsid w:val="00BB153A"/>
    <w:rsid w:val="00BB30A9"/>
    <w:rsid w:val="00BB390A"/>
    <w:rsid w:val="00BB627A"/>
    <w:rsid w:val="00BC6C3F"/>
    <w:rsid w:val="00BC74AA"/>
    <w:rsid w:val="00BC78E2"/>
    <w:rsid w:val="00BD2635"/>
    <w:rsid w:val="00BD2B92"/>
    <w:rsid w:val="00BD35B0"/>
    <w:rsid w:val="00BE0538"/>
    <w:rsid w:val="00BE19AB"/>
    <w:rsid w:val="00BE66C8"/>
    <w:rsid w:val="00BE6E1A"/>
    <w:rsid w:val="00BF1D68"/>
    <w:rsid w:val="00BF22C0"/>
    <w:rsid w:val="00BF27FF"/>
    <w:rsid w:val="00BF4CAD"/>
    <w:rsid w:val="00BF5F12"/>
    <w:rsid w:val="00BF7346"/>
    <w:rsid w:val="00C00726"/>
    <w:rsid w:val="00C0215C"/>
    <w:rsid w:val="00C02907"/>
    <w:rsid w:val="00C17D9D"/>
    <w:rsid w:val="00C24962"/>
    <w:rsid w:val="00C2626D"/>
    <w:rsid w:val="00C35677"/>
    <w:rsid w:val="00C371CD"/>
    <w:rsid w:val="00C3777D"/>
    <w:rsid w:val="00C41BCC"/>
    <w:rsid w:val="00C42969"/>
    <w:rsid w:val="00C56E27"/>
    <w:rsid w:val="00C5751C"/>
    <w:rsid w:val="00C70CE8"/>
    <w:rsid w:val="00C7232D"/>
    <w:rsid w:val="00C7256F"/>
    <w:rsid w:val="00C72577"/>
    <w:rsid w:val="00C75638"/>
    <w:rsid w:val="00C83181"/>
    <w:rsid w:val="00C84BBC"/>
    <w:rsid w:val="00C853CE"/>
    <w:rsid w:val="00C91BB3"/>
    <w:rsid w:val="00C932AA"/>
    <w:rsid w:val="00C93417"/>
    <w:rsid w:val="00C94752"/>
    <w:rsid w:val="00C95A33"/>
    <w:rsid w:val="00C96CAD"/>
    <w:rsid w:val="00CA2C34"/>
    <w:rsid w:val="00CA33C2"/>
    <w:rsid w:val="00CA3F6B"/>
    <w:rsid w:val="00CA5226"/>
    <w:rsid w:val="00CA5577"/>
    <w:rsid w:val="00CB5220"/>
    <w:rsid w:val="00CC1E5A"/>
    <w:rsid w:val="00CD29C2"/>
    <w:rsid w:val="00CD5096"/>
    <w:rsid w:val="00CE2BB1"/>
    <w:rsid w:val="00CE48F2"/>
    <w:rsid w:val="00CE6A1A"/>
    <w:rsid w:val="00CF50F9"/>
    <w:rsid w:val="00CF530D"/>
    <w:rsid w:val="00D0101D"/>
    <w:rsid w:val="00D05DDE"/>
    <w:rsid w:val="00D157C0"/>
    <w:rsid w:val="00D2095B"/>
    <w:rsid w:val="00D230B7"/>
    <w:rsid w:val="00D240F8"/>
    <w:rsid w:val="00D30075"/>
    <w:rsid w:val="00D329E0"/>
    <w:rsid w:val="00D3307B"/>
    <w:rsid w:val="00D370E5"/>
    <w:rsid w:val="00D42AFF"/>
    <w:rsid w:val="00D4596E"/>
    <w:rsid w:val="00D45DF6"/>
    <w:rsid w:val="00D51ED8"/>
    <w:rsid w:val="00D52E2C"/>
    <w:rsid w:val="00D6248B"/>
    <w:rsid w:val="00D66698"/>
    <w:rsid w:val="00D71B5C"/>
    <w:rsid w:val="00D72ACE"/>
    <w:rsid w:val="00D84A13"/>
    <w:rsid w:val="00D85FDC"/>
    <w:rsid w:val="00D938C6"/>
    <w:rsid w:val="00D94107"/>
    <w:rsid w:val="00D94FFE"/>
    <w:rsid w:val="00D9500A"/>
    <w:rsid w:val="00D97054"/>
    <w:rsid w:val="00DB49F5"/>
    <w:rsid w:val="00DB5785"/>
    <w:rsid w:val="00DC1643"/>
    <w:rsid w:val="00DC7CF9"/>
    <w:rsid w:val="00DD00AA"/>
    <w:rsid w:val="00DD03C6"/>
    <w:rsid w:val="00DE1BD7"/>
    <w:rsid w:val="00DE29DD"/>
    <w:rsid w:val="00DE4FAA"/>
    <w:rsid w:val="00DE7FF8"/>
    <w:rsid w:val="00DF3C30"/>
    <w:rsid w:val="00DF48B8"/>
    <w:rsid w:val="00DF7568"/>
    <w:rsid w:val="00DF7DBC"/>
    <w:rsid w:val="00E0229A"/>
    <w:rsid w:val="00E038E3"/>
    <w:rsid w:val="00E06395"/>
    <w:rsid w:val="00E12C6C"/>
    <w:rsid w:val="00E16918"/>
    <w:rsid w:val="00E212CD"/>
    <w:rsid w:val="00E22B11"/>
    <w:rsid w:val="00E24133"/>
    <w:rsid w:val="00E241E7"/>
    <w:rsid w:val="00E26473"/>
    <w:rsid w:val="00E27110"/>
    <w:rsid w:val="00E33ECF"/>
    <w:rsid w:val="00E36C69"/>
    <w:rsid w:val="00E406D0"/>
    <w:rsid w:val="00E42458"/>
    <w:rsid w:val="00E43145"/>
    <w:rsid w:val="00E43F06"/>
    <w:rsid w:val="00E447F3"/>
    <w:rsid w:val="00E51FDC"/>
    <w:rsid w:val="00E5216A"/>
    <w:rsid w:val="00E5274A"/>
    <w:rsid w:val="00E54152"/>
    <w:rsid w:val="00E546CC"/>
    <w:rsid w:val="00E5783B"/>
    <w:rsid w:val="00E65DDB"/>
    <w:rsid w:val="00E6650C"/>
    <w:rsid w:val="00E75920"/>
    <w:rsid w:val="00E7713D"/>
    <w:rsid w:val="00E84ED6"/>
    <w:rsid w:val="00E87227"/>
    <w:rsid w:val="00E90D8A"/>
    <w:rsid w:val="00E93B17"/>
    <w:rsid w:val="00E9522D"/>
    <w:rsid w:val="00E962F1"/>
    <w:rsid w:val="00E96A20"/>
    <w:rsid w:val="00EA0AFC"/>
    <w:rsid w:val="00EA2AB3"/>
    <w:rsid w:val="00EA4FE9"/>
    <w:rsid w:val="00EA722F"/>
    <w:rsid w:val="00EA78A4"/>
    <w:rsid w:val="00EB0594"/>
    <w:rsid w:val="00EB2F2C"/>
    <w:rsid w:val="00EB51BD"/>
    <w:rsid w:val="00EB620D"/>
    <w:rsid w:val="00EB7AC8"/>
    <w:rsid w:val="00EC22CF"/>
    <w:rsid w:val="00EC65AB"/>
    <w:rsid w:val="00ED6D35"/>
    <w:rsid w:val="00EE5C56"/>
    <w:rsid w:val="00EE5CB7"/>
    <w:rsid w:val="00EE5CDA"/>
    <w:rsid w:val="00EE7A31"/>
    <w:rsid w:val="00EE7AC9"/>
    <w:rsid w:val="00EE7DEB"/>
    <w:rsid w:val="00EF4E9F"/>
    <w:rsid w:val="00EF5C6B"/>
    <w:rsid w:val="00EF6542"/>
    <w:rsid w:val="00EF6F87"/>
    <w:rsid w:val="00F0171F"/>
    <w:rsid w:val="00F04AFB"/>
    <w:rsid w:val="00F058E1"/>
    <w:rsid w:val="00F120CE"/>
    <w:rsid w:val="00F1331D"/>
    <w:rsid w:val="00F146AF"/>
    <w:rsid w:val="00F17BDF"/>
    <w:rsid w:val="00F23F57"/>
    <w:rsid w:val="00F264D4"/>
    <w:rsid w:val="00F32B03"/>
    <w:rsid w:val="00F357AD"/>
    <w:rsid w:val="00F4162F"/>
    <w:rsid w:val="00F41E78"/>
    <w:rsid w:val="00F42DAE"/>
    <w:rsid w:val="00F43308"/>
    <w:rsid w:val="00F46E72"/>
    <w:rsid w:val="00F502DB"/>
    <w:rsid w:val="00F50E46"/>
    <w:rsid w:val="00F515D6"/>
    <w:rsid w:val="00F5621D"/>
    <w:rsid w:val="00F603F4"/>
    <w:rsid w:val="00F643B4"/>
    <w:rsid w:val="00F65679"/>
    <w:rsid w:val="00F66734"/>
    <w:rsid w:val="00F672D7"/>
    <w:rsid w:val="00F7281B"/>
    <w:rsid w:val="00F76113"/>
    <w:rsid w:val="00F768A3"/>
    <w:rsid w:val="00F772DC"/>
    <w:rsid w:val="00F77EF2"/>
    <w:rsid w:val="00F84A02"/>
    <w:rsid w:val="00F910FE"/>
    <w:rsid w:val="00F9176B"/>
    <w:rsid w:val="00F9251B"/>
    <w:rsid w:val="00F9264C"/>
    <w:rsid w:val="00F958B9"/>
    <w:rsid w:val="00FB19A7"/>
    <w:rsid w:val="00FB350D"/>
    <w:rsid w:val="00FB517D"/>
    <w:rsid w:val="00FB7573"/>
    <w:rsid w:val="00FB7770"/>
    <w:rsid w:val="00FB7F32"/>
    <w:rsid w:val="00FC234B"/>
    <w:rsid w:val="00FC739E"/>
    <w:rsid w:val="00FD019B"/>
    <w:rsid w:val="00FD430C"/>
    <w:rsid w:val="00FD571E"/>
    <w:rsid w:val="00FD67BF"/>
    <w:rsid w:val="00FE044B"/>
    <w:rsid w:val="00FE36DD"/>
    <w:rsid w:val="00FE4FCE"/>
    <w:rsid w:val="00FE52A7"/>
    <w:rsid w:val="00FE5726"/>
    <w:rsid w:val="00FE717A"/>
    <w:rsid w:val="00FE73BE"/>
    <w:rsid w:val="00FF09A7"/>
    <w:rsid w:val="00FF31D4"/>
    <w:rsid w:val="00FF48AB"/>
    <w:rsid w:val="00FF6A53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en-GB" w:eastAsia="en-GB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en-GB" w:eastAsia="en-GB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en-GB" w:eastAsia="en-GB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en-GB" w:eastAsia="en-GB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3C3AB-653F-485B-9D6B-000A442E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4816</Words>
  <Characters>27454</Characters>
  <Application>Microsoft Office Word</Application>
  <DocSecurity>0</DocSecurity>
  <Lines>228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32206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Fabiani</dc:creator>
  <cp:lastModifiedBy>Concetta Rondinelli</cp:lastModifiedBy>
  <cp:revision>2</cp:revision>
  <cp:lastPrinted>2017-06-07T10:31:00Z</cp:lastPrinted>
  <dcterms:created xsi:type="dcterms:W3CDTF">2017-09-13T08:06:00Z</dcterms:created>
  <dcterms:modified xsi:type="dcterms:W3CDTF">2017-09-13T08:06:00Z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2016-09-26T00:00:00Z</vt:filetime>
  </property>
  <property fmtid="{D5CDD505-2E9C-101B-9397-08002B2CF9AE}" pid="3" name="LastSaved">
    <vt:filetime>2016-10-18T00:00:00Z</vt:filetime>
  </property>
</Properties>
</file>