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DDC" w:rsidRDefault="007D7944" w:rsidP="00145DDC">
      <w:pPr>
        <w:pStyle w:val="Titolo1"/>
        <w:numPr>
          <w:ilvl w:val="0"/>
          <w:numId w:val="0"/>
        </w:numPr>
        <w:spacing w:after="0"/>
        <w:jc w:val="right"/>
        <w:rPr>
          <w:b w:val="0"/>
          <w:color w:val="000099"/>
          <w:sz w:val="20"/>
          <w:szCs w:val="20"/>
        </w:rPr>
      </w:pPr>
      <w:r>
        <w:rPr>
          <w:rFonts w:cs="Arial"/>
          <w:b w:val="0"/>
          <w:color w:val="auto"/>
          <w:sz w:val="20"/>
          <w:szCs w:val="20"/>
        </w:rPr>
        <w:tab/>
      </w:r>
      <w:r>
        <w:rPr>
          <w:rFonts w:cs="Arial"/>
          <w:b w:val="0"/>
          <w:color w:val="auto"/>
          <w:sz w:val="20"/>
          <w:szCs w:val="20"/>
        </w:rPr>
        <w:tab/>
      </w:r>
      <w:r>
        <w:rPr>
          <w:rFonts w:cs="Arial"/>
          <w:b w:val="0"/>
          <w:color w:val="auto"/>
          <w:sz w:val="20"/>
          <w:szCs w:val="20"/>
        </w:rPr>
        <w:tab/>
      </w:r>
      <w:r>
        <w:rPr>
          <w:rFonts w:cs="Arial"/>
          <w:b w:val="0"/>
          <w:color w:val="auto"/>
          <w:sz w:val="20"/>
          <w:szCs w:val="20"/>
        </w:rPr>
        <w:tab/>
      </w:r>
      <w:r>
        <w:rPr>
          <w:rFonts w:cs="Arial"/>
          <w:b w:val="0"/>
          <w:color w:val="auto"/>
          <w:sz w:val="20"/>
          <w:szCs w:val="20"/>
        </w:rPr>
        <w:tab/>
      </w:r>
      <w:r>
        <w:rPr>
          <w:rFonts w:cs="Arial"/>
          <w:b w:val="0"/>
          <w:color w:val="auto"/>
          <w:sz w:val="20"/>
          <w:szCs w:val="20"/>
        </w:rPr>
        <w:tab/>
      </w:r>
      <w:r>
        <w:rPr>
          <w:rFonts w:cs="Arial"/>
          <w:b w:val="0"/>
          <w:color w:val="auto"/>
          <w:sz w:val="20"/>
          <w:szCs w:val="20"/>
        </w:rPr>
        <w:tab/>
      </w:r>
      <w:r w:rsidR="002F6F9E">
        <w:rPr>
          <w:rFonts w:cs="Arial"/>
          <w:b w:val="0"/>
          <w:color w:val="auto"/>
          <w:sz w:val="20"/>
          <w:szCs w:val="20"/>
        </w:rPr>
        <w:t xml:space="preserve">  </w:t>
      </w:r>
      <w:r>
        <w:rPr>
          <w:rFonts w:cs="Arial"/>
          <w:b w:val="0"/>
          <w:color w:val="auto"/>
          <w:sz w:val="20"/>
          <w:szCs w:val="20"/>
        </w:rPr>
        <w:t xml:space="preserve">     </w:t>
      </w:r>
    </w:p>
    <w:p w:rsidR="0006697E" w:rsidRPr="00602821" w:rsidRDefault="0006697E" w:rsidP="0006697E">
      <w:pPr>
        <w:rPr>
          <w:rFonts w:ascii="Verdana" w:hAnsi="Verdana"/>
          <w:b/>
          <w:color w:val="000099"/>
          <w:sz w:val="20"/>
          <w:szCs w:val="20"/>
          <w:lang w:val="en-GB"/>
        </w:rPr>
      </w:pPr>
    </w:p>
    <w:p w:rsidR="0006697E" w:rsidRPr="00602821" w:rsidRDefault="0006697E" w:rsidP="0006697E">
      <w:pPr>
        <w:rPr>
          <w:rFonts w:ascii="Verdana" w:hAnsi="Verdana"/>
          <w:sz w:val="20"/>
          <w:szCs w:val="20"/>
          <w:lang w:val="en-GB"/>
        </w:rPr>
      </w:pPr>
    </w:p>
    <w:p w:rsidR="0006697E" w:rsidRPr="00A26287" w:rsidRDefault="00C235D7" w:rsidP="0006697E">
      <w:pPr>
        <w:keepNext/>
        <w:keepLines/>
        <w:widowControl w:val="0"/>
        <w:spacing w:after="240"/>
        <w:jc w:val="center"/>
        <w:outlineLvl w:val="0"/>
        <w:rPr>
          <w:rFonts w:ascii="Verdana" w:eastAsia="Times New Roman" w:hAnsi="Verdana"/>
          <w:b/>
          <w:snapToGrid w:val="0"/>
          <w:color w:val="0046AD"/>
          <w:sz w:val="28"/>
          <w:lang w:val="en-GB" w:eastAsia="fi-FI"/>
        </w:rPr>
      </w:pPr>
      <w:r w:rsidRPr="00A26287">
        <w:rPr>
          <w:rFonts w:ascii="Verdana" w:eastAsia="Times New Roman" w:hAnsi="Verdana"/>
          <w:b/>
          <w:snapToGrid w:val="0"/>
          <w:color w:val="0046AD"/>
          <w:sz w:val="28"/>
          <w:lang w:val="en-GB" w:eastAsia="fi-FI"/>
        </w:rPr>
        <w:t>2021</w:t>
      </w:r>
      <w:r w:rsidR="0006697E" w:rsidRPr="00A26287">
        <w:rPr>
          <w:rFonts w:ascii="Verdana" w:eastAsia="Times New Roman" w:hAnsi="Verdana"/>
          <w:b/>
          <w:snapToGrid w:val="0"/>
          <w:color w:val="0046AD"/>
          <w:sz w:val="28"/>
          <w:lang w:val="en-GB" w:eastAsia="fi-FI"/>
        </w:rPr>
        <w:t xml:space="preserve"> </w:t>
      </w:r>
      <w:r w:rsidR="0006697E" w:rsidRPr="00A26287">
        <w:rPr>
          <w:rFonts w:ascii="Verdana" w:hAnsi="Verdana"/>
          <w:b/>
          <w:color w:val="0046AD"/>
          <w:sz w:val="28"/>
          <w:lang w:val="en-GB"/>
        </w:rPr>
        <w:t>ex-ante</w:t>
      </w:r>
      <w:r w:rsidR="0006697E" w:rsidRPr="00A26287">
        <w:rPr>
          <w:rFonts w:ascii="Verdana" w:eastAsia="Times New Roman" w:hAnsi="Verdana"/>
          <w:b/>
          <w:snapToGrid w:val="0"/>
          <w:color w:val="0046AD"/>
          <w:sz w:val="28"/>
          <w:lang w:val="en-GB" w:eastAsia="fi-FI"/>
        </w:rPr>
        <w:t xml:space="preserve"> contributions to the SRF</w:t>
      </w:r>
    </w:p>
    <w:p w:rsidR="0006697E" w:rsidRPr="00A26287" w:rsidRDefault="0006697E" w:rsidP="0006697E">
      <w:pPr>
        <w:keepNext/>
        <w:keepLines/>
        <w:widowControl w:val="0"/>
        <w:spacing w:after="240"/>
        <w:jc w:val="center"/>
        <w:outlineLvl w:val="0"/>
        <w:rPr>
          <w:rFonts w:ascii="Verdana" w:eastAsia="Times New Roman" w:hAnsi="Verdana"/>
          <w:b/>
          <w:snapToGrid w:val="0"/>
          <w:color w:val="0046AD"/>
          <w:sz w:val="28"/>
          <w:lang w:val="en-GB" w:eastAsia="fi-FI"/>
        </w:rPr>
      </w:pPr>
      <w:r w:rsidRPr="00A26287">
        <w:rPr>
          <w:rFonts w:ascii="Verdana" w:eastAsia="Times New Roman" w:hAnsi="Verdana"/>
          <w:b/>
          <w:snapToGrid w:val="0"/>
          <w:color w:val="0046AD"/>
          <w:sz w:val="28"/>
          <w:lang w:val="en-GB" w:eastAsia="fi-FI"/>
        </w:rPr>
        <w:t>Additional Assurance</w:t>
      </w:r>
    </w:p>
    <w:p w:rsidR="0006697E" w:rsidRPr="00A26287" w:rsidRDefault="0006697E" w:rsidP="0006697E">
      <w:pPr>
        <w:ind w:left="-142"/>
        <w:rPr>
          <w:rFonts w:ascii="Verdana" w:hAnsi="Verdana"/>
          <w:b/>
          <w:sz w:val="22"/>
          <w:szCs w:val="22"/>
          <w:lang w:val="en-GB"/>
        </w:rPr>
      </w:pPr>
    </w:p>
    <w:p w:rsidR="00E81AC3" w:rsidRPr="00A26287" w:rsidRDefault="00E81AC3" w:rsidP="00E81AC3">
      <w:pPr>
        <w:jc w:val="both"/>
        <w:rPr>
          <w:rFonts w:ascii="Verdana" w:hAnsi="Verdana"/>
          <w:sz w:val="20"/>
          <w:lang w:val="en-GB"/>
        </w:rPr>
      </w:pPr>
      <w:r w:rsidRPr="00A26287">
        <w:rPr>
          <w:rFonts w:ascii="Verdana" w:hAnsi="Verdana"/>
          <w:sz w:val="20"/>
          <w:lang w:val="en-GB"/>
        </w:rPr>
        <w:t xml:space="preserve">The objective of this document is to clarify the content and form of such additional assurance on data used for the calculation of 2021 </w:t>
      </w:r>
      <w:r w:rsidRPr="00A26287">
        <w:rPr>
          <w:rFonts w:ascii="Verdana" w:hAnsi="Verdana"/>
          <w:i/>
          <w:sz w:val="20"/>
          <w:lang w:val="en-GB"/>
        </w:rPr>
        <w:t>ex-ante</w:t>
      </w:r>
      <w:r w:rsidRPr="00A26287">
        <w:rPr>
          <w:rFonts w:ascii="Verdana" w:hAnsi="Verdana"/>
          <w:sz w:val="20"/>
          <w:lang w:val="en-GB"/>
        </w:rPr>
        <w:t xml:space="preserve"> contributions to the Single Resolution Fund (“SRF”) to National Resolution Authorities (“NRAs”) and institutions.</w:t>
      </w:r>
    </w:p>
    <w:p w:rsidR="0006697E" w:rsidRPr="00A26287" w:rsidRDefault="0006697E" w:rsidP="0006697E">
      <w:pPr>
        <w:jc w:val="both"/>
        <w:rPr>
          <w:rFonts w:ascii="Verdana" w:hAnsi="Verdana"/>
          <w:sz w:val="20"/>
          <w:lang w:val="en-GB"/>
        </w:rPr>
      </w:pPr>
    </w:p>
    <w:p w:rsidR="0006697E" w:rsidRPr="00A26287" w:rsidRDefault="0006697E" w:rsidP="0006697E">
      <w:pPr>
        <w:jc w:val="both"/>
        <w:rPr>
          <w:rFonts w:ascii="Verdana" w:hAnsi="Verdana"/>
          <w:b/>
          <w:color w:val="0046AD"/>
          <w:sz w:val="20"/>
          <w:lang w:val="en-GB"/>
        </w:rPr>
      </w:pPr>
      <w:r w:rsidRPr="00A26287">
        <w:rPr>
          <w:rFonts w:ascii="Verdana" w:hAnsi="Verdana"/>
          <w:sz w:val="20"/>
          <w:szCs w:val="22"/>
          <w:lang w:val="en-GB"/>
        </w:rPr>
        <w:t>This document is divided into the following sections:</w:t>
      </w:r>
    </w:p>
    <w:p w:rsidR="0006697E" w:rsidRPr="00A26287" w:rsidRDefault="0006697E" w:rsidP="0006697E">
      <w:pPr>
        <w:jc w:val="both"/>
        <w:rPr>
          <w:rFonts w:ascii="Verdana" w:hAnsi="Verdana"/>
          <w:sz w:val="20"/>
          <w:szCs w:val="22"/>
          <w:lang w:val="en-GB"/>
        </w:rPr>
      </w:pPr>
    </w:p>
    <w:p w:rsidR="0006697E" w:rsidRPr="00A26287" w:rsidRDefault="00A26287" w:rsidP="00280C94">
      <w:pPr>
        <w:numPr>
          <w:ilvl w:val="0"/>
          <w:numId w:val="6"/>
        </w:numPr>
        <w:spacing w:after="240"/>
        <w:jc w:val="both"/>
        <w:rPr>
          <w:rFonts w:ascii="Verdana" w:hAnsi="Verdana"/>
          <w:b/>
          <w:color w:val="0046AD"/>
          <w:sz w:val="20"/>
          <w:lang w:val="en-GB"/>
        </w:rPr>
      </w:pPr>
      <w:hyperlink w:anchor="_1._Additional_assurance" w:history="1">
        <w:r w:rsidR="0006697E" w:rsidRPr="00A26287">
          <w:rPr>
            <w:rFonts w:ascii="Verdana" w:hAnsi="Verdana"/>
            <w:b/>
            <w:color w:val="0046AD"/>
            <w:sz w:val="20"/>
            <w:lang w:val="en-GB"/>
          </w:rPr>
          <w:t>Additional assurance decision</w:t>
        </w:r>
      </w:hyperlink>
    </w:p>
    <w:p w:rsidR="0006697E" w:rsidRPr="00A26287" w:rsidRDefault="00A26287" w:rsidP="00280C94">
      <w:pPr>
        <w:numPr>
          <w:ilvl w:val="0"/>
          <w:numId w:val="6"/>
        </w:numPr>
        <w:spacing w:after="240"/>
        <w:jc w:val="both"/>
        <w:rPr>
          <w:rFonts w:ascii="Verdana" w:hAnsi="Verdana"/>
          <w:b/>
          <w:color w:val="0046AD"/>
          <w:sz w:val="20"/>
          <w:szCs w:val="22"/>
          <w:lang w:val="en-GB"/>
        </w:rPr>
      </w:pPr>
      <w:hyperlink w:anchor="_Agreed-upon_procedures" w:history="1">
        <w:r w:rsidR="0006697E" w:rsidRPr="00A26287">
          <w:rPr>
            <w:rFonts w:ascii="Verdana" w:hAnsi="Verdana"/>
            <w:b/>
            <w:color w:val="0046AD"/>
            <w:sz w:val="20"/>
            <w:szCs w:val="22"/>
            <w:lang w:val="en-GB"/>
          </w:rPr>
          <w:t>Agreed-upon procedures</w:t>
        </w:r>
      </w:hyperlink>
    </w:p>
    <w:p w:rsidR="0006697E" w:rsidRPr="00A26287" w:rsidRDefault="00A26287" w:rsidP="00280C94">
      <w:pPr>
        <w:numPr>
          <w:ilvl w:val="0"/>
          <w:numId w:val="6"/>
        </w:numPr>
        <w:spacing w:after="240"/>
        <w:jc w:val="both"/>
        <w:rPr>
          <w:rFonts w:ascii="Verdana" w:hAnsi="Verdana"/>
          <w:b/>
          <w:color w:val="0046AD"/>
          <w:sz w:val="20"/>
          <w:szCs w:val="22"/>
          <w:lang w:val="en-GB"/>
        </w:rPr>
      </w:pPr>
      <w:hyperlink w:anchor="_3._Sign-off" w:history="1">
        <w:r w:rsidR="0006697E" w:rsidRPr="00A26287">
          <w:rPr>
            <w:rFonts w:ascii="Verdana" w:hAnsi="Verdana"/>
            <w:b/>
            <w:color w:val="0046AD"/>
            <w:sz w:val="20"/>
            <w:szCs w:val="22"/>
            <w:lang w:val="en-GB"/>
          </w:rPr>
          <w:t>Sign-off</w:t>
        </w:r>
      </w:hyperlink>
    </w:p>
    <w:p w:rsidR="0006697E" w:rsidRPr="00A26287" w:rsidRDefault="0006697E" w:rsidP="0006697E">
      <w:pPr>
        <w:rPr>
          <w:rFonts w:ascii="Verdana" w:hAnsi="Verdana"/>
          <w:sz w:val="20"/>
          <w:lang w:val="en-GB"/>
        </w:rPr>
      </w:pPr>
      <w:bookmarkStart w:id="0" w:name="_Additional_assurance_decision"/>
      <w:bookmarkEnd w:id="0"/>
    </w:p>
    <w:p w:rsidR="0006697E" w:rsidRPr="00A26287" w:rsidRDefault="0006697E" w:rsidP="0006697E">
      <w:pPr>
        <w:rPr>
          <w:rFonts w:ascii="Verdana" w:hAnsi="Verdana"/>
          <w:sz w:val="20"/>
          <w:lang w:val="en-GB"/>
        </w:rPr>
      </w:pPr>
      <w:r w:rsidRPr="00A26287">
        <w:rPr>
          <w:rFonts w:ascii="Verdana" w:hAnsi="Verdana"/>
          <w:sz w:val="20"/>
          <w:lang w:val="en-GB"/>
        </w:rPr>
        <w:br w:type="page"/>
      </w:r>
    </w:p>
    <w:p w:rsidR="0006697E" w:rsidRPr="00A26287" w:rsidRDefault="0006697E" w:rsidP="0006697E">
      <w:pPr>
        <w:keepNext/>
        <w:keepLines/>
        <w:widowControl w:val="0"/>
        <w:spacing w:after="240"/>
        <w:outlineLvl w:val="1"/>
        <w:rPr>
          <w:rFonts w:ascii="Verdana" w:eastAsia="Times New Roman" w:hAnsi="Verdana" w:cs="Arial"/>
          <w:b/>
          <w:snapToGrid w:val="0"/>
          <w:color w:val="0046AD"/>
          <w:szCs w:val="22"/>
          <w:lang w:val="en-GB" w:eastAsia="fi-FI"/>
        </w:rPr>
      </w:pPr>
      <w:bookmarkStart w:id="1" w:name="_Additional_assurance_decision_1"/>
      <w:bookmarkStart w:id="2" w:name="_1._Additional_assurance"/>
      <w:bookmarkEnd w:id="1"/>
      <w:bookmarkEnd w:id="2"/>
      <w:r w:rsidRPr="00A26287">
        <w:rPr>
          <w:rFonts w:ascii="Verdana" w:eastAsia="Times New Roman" w:hAnsi="Verdana" w:cs="Arial"/>
          <w:b/>
          <w:snapToGrid w:val="0"/>
          <w:color w:val="0046AD"/>
          <w:sz w:val="22"/>
          <w:szCs w:val="22"/>
          <w:lang w:val="en-GB" w:eastAsia="fi-FI"/>
        </w:rPr>
        <w:lastRenderedPageBreak/>
        <w:t xml:space="preserve">1. Additional assurance decision </w:t>
      </w:r>
    </w:p>
    <w:p w:rsidR="00FD7E6B" w:rsidRPr="00A26287" w:rsidRDefault="00FD7E6B" w:rsidP="00FD7E6B">
      <w:pPr>
        <w:jc w:val="both"/>
        <w:rPr>
          <w:rFonts w:ascii="Verdana" w:eastAsia="Calibri" w:hAnsi="Verdana"/>
          <w:sz w:val="20"/>
          <w:szCs w:val="22"/>
          <w:lang w:val="en-GB"/>
        </w:rPr>
      </w:pPr>
      <w:r w:rsidRPr="00A26287">
        <w:rPr>
          <w:rFonts w:ascii="Verdana" w:eastAsia="Calibri" w:hAnsi="Verdana"/>
          <w:sz w:val="20"/>
          <w:szCs w:val="22"/>
          <w:lang w:val="en-GB"/>
        </w:rPr>
        <w:t>In order to enhance the comparability of the reported information and the effectiveness of processing the information received,</w:t>
      </w:r>
      <w:r w:rsidRPr="00A26287">
        <w:rPr>
          <w:rFonts w:ascii="Verdana" w:eastAsia="Calibri" w:hAnsi="Verdana"/>
          <w:sz w:val="20"/>
          <w:szCs w:val="22"/>
        </w:rPr>
        <w:t xml:space="preserve"> some </w:t>
      </w:r>
      <w:r w:rsidRPr="00A26287">
        <w:rPr>
          <w:rFonts w:ascii="Verdana" w:eastAsia="Calibri" w:hAnsi="Verdana"/>
          <w:sz w:val="20"/>
          <w:szCs w:val="22"/>
          <w:lang w:val="en-GB"/>
        </w:rPr>
        <w:t xml:space="preserve">institutions are requested to provide additional assurance on data to be used in the calculation of 2021 </w:t>
      </w:r>
      <w:r w:rsidRPr="00A26287">
        <w:rPr>
          <w:rFonts w:ascii="Verdana" w:eastAsia="Calibri" w:hAnsi="Verdana"/>
          <w:i/>
          <w:sz w:val="20"/>
          <w:szCs w:val="22"/>
          <w:lang w:val="en-GB"/>
        </w:rPr>
        <w:t>ex-ante</w:t>
      </w:r>
      <w:r w:rsidRPr="00A26287">
        <w:rPr>
          <w:rFonts w:ascii="Verdana" w:eastAsia="Calibri" w:hAnsi="Verdana"/>
          <w:sz w:val="20"/>
          <w:szCs w:val="22"/>
          <w:lang w:val="en-GB"/>
        </w:rPr>
        <w:t xml:space="preserve"> contributions. </w:t>
      </w:r>
    </w:p>
    <w:p w:rsidR="0006697E" w:rsidRPr="00A26287" w:rsidRDefault="0006697E" w:rsidP="0006697E">
      <w:pPr>
        <w:jc w:val="both"/>
        <w:rPr>
          <w:rFonts w:ascii="Verdana" w:eastAsia="Calibri" w:hAnsi="Verdana"/>
          <w:sz w:val="20"/>
          <w:szCs w:val="22"/>
          <w:lang w:val="en-GB"/>
        </w:rPr>
      </w:pPr>
    </w:p>
    <w:p w:rsidR="0006697E" w:rsidRPr="00A26287" w:rsidRDefault="0006697E" w:rsidP="00280C94">
      <w:pPr>
        <w:numPr>
          <w:ilvl w:val="0"/>
          <w:numId w:val="12"/>
        </w:numPr>
        <w:spacing w:line="276" w:lineRule="auto"/>
        <w:jc w:val="both"/>
        <w:rPr>
          <w:rFonts w:ascii="Verdana" w:hAnsi="Verdana"/>
          <w:sz w:val="20"/>
          <w:szCs w:val="20"/>
          <w:lang w:val="en-GB"/>
        </w:rPr>
      </w:pPr>
      <w:r w:rsidRPr="00A26287">
        <w:rPr>
          <w:rFonts w:ascii="Verdana" w:hAnsi="Verdana"/>
          <w:b/>
          <w:sz w:val="20"/>
          <w:szCs w:val="20"/>
          <w:lang w:val="en-GB"/>
        </w:rPr>
        <w:t>Scope of institutions:</w:t>
      </w:r>
      <w:r w:rsidRPr="00A26287">
        <w:rPr>
          <w:rFonts w:ascii="Verdana" w:hAnsi="Verdana"/>
          <w:sz w:val="20"/>
          <w:szCs w:val="20"/>
          <w:lang w:val="en-GB"/>
        </w:rPr>
        <w:t xml:space="preserve"> </w:t>
      </w:r>
      <w:r w:rsidRPr="00A26287">
        <w:rPr>
          <w:rFonts w:ascii="Verdana" w:eastAsia="Calibri" w:hAnsi="Verdana"/>
          <w:sz w:val="20"/>
          <w:szCs w:val="22"/>
          <w:lang w:val="en-GB"/>
        </w:rPr>
        <w:t>requesting additional assurance from all contributing institutions that are part of a group that falls under direct ECB supervision, unless it is subject to the lump-sum payment.</w:t>
      </w:r>
    </w:p>
    <w:p w:rsidR="0006697E" w:rsidRPr="00A26287" w:rsidRDefault="0006697E" w:rsidP="0006697E">
      <w:pPr>
        <w:spacing w:line="276" w:lineRule="auto"/>
        <w:ind w:left="720"/>
        <w:jc w:val="both"/>
        <w:rPr>
          <w:rFonts w:ascii="Verdana" w:hAnsi="Verdana"/>
          <w:sz w:val="20"/>
          <w:szCs w:val="20"/>
          <w:lang w:val="en-GB"/>
        </w:rPr>
      </w:pPr>
    </w:p>
    <w:p w:rsidR="0006697E" w:rsidRPr="00A26287" w:rsidRDefault="0006697E" w:rsidP="00280C94">
      <w:pPr>
        <w:numPr>
          <w:ilvl w:val="0"/>
          <w:numId w:val="12"/>
        </w:numPr>
        <w:spacing w:line="276" w:lineRule="auto"/>
        <w:jc w:val="both"/>
        <w:rPr>
          <w:rFonts w:ascii="Verdana" w:hAnsi="Verdana"/>
          <w:sz w:val="20"/>
          <w:szCs w:val="20"/>
          <w:lang w:val="en-GB"/>
        </w:rPr>
      </w:pPr>
      <w:r w:rsidRPr="00A26287">
        <w:rPr>
          <w:rFonts w:ascii="Verdana" w:hAnsi="Verdana"/>
          <w:b/>
          <w:sz w:val="20"/>
          <w:szCs w:val="20"/>
          <w:lang w:val="en-GB"/>
        </w:rPr>
        <w:t>Sign-off vs. agreed-upon procedures (AUP):</w:t>
      </w:r>
      <w:r w:rsidRPr="00A26287">
        <w:rPr>
          <w:rFonts w:ascii="Verdana" w:hAnsi="Verdana"/>
          <w:sz w:val="20"/>
          <w:szCs w:val="20"/>
          <w:lang w:val="en-GB"/>
        </w:rPr>
        <w:t xml:space="preserve"> </w:t>
      </w:r>
      <w:r w:rsidRPr="00A26287">
        <w:rPr>
          <w:rFonts w:ascii="Verdana" w:eastAsia="Calibri" w:hAnsi="Verdana"/>
          <w:sz w:val="20"/>
          <w:szCs w:val="22"/>
          <w:lang w:val="en-GB"/>
        </w:rPr>
        <w:t>institutions falling in the scope are left with a choice to opt for confirmation by an auditor on the specific data (</w:t>
      </w:r>
      <w:r w:rsidRPr="00A26287">
        <w:rPr>
          <w:rFonts w:ascii="Verdana" w:hAnsi="Verdana"/>
          <w:sz w:val="20"/>
          <w:lang w:val="en-GB"/>
        </w:rPr>
        <w:t>i.e.</w:t>
      </w:r>
      <w:r w:rsidRPr="00A26287">
        <w:rPr>
          <w:rFonts w:ascii="Verdana" w:eastAsia="Calibri" w:hAnsi="Verdana"/>
          <w:sz w:val="20"/>
          <w:szCs w:val="22"/>
          <w:lang w:val="en-GB"/>
        </w:rPr>
        <w:t xml:space="preserve"> AUP) or a sign-off by the executive body on the full template.</w:t>
      </w:r>
    </w:p>
    <w:p w:rsidR="0006697E" w:rsidRPr="00A26287" w:rsidRDefault="0006697E" w:rsidP="00B777B7">
      <w:pPr>
        <w:spacing w:line="276" w:lineRule="auto"/>
        <w:jc w:val="both"/>
        <w:rPr>
          <w:rFonts w:ascii="Verdana" w:hAnsi="Verdana"/>
          <w:sz w:val="20"/>
          <w:lang w:val="en-GB"/>
        </w:rPr>
      </w:pPr>
    </w:p>
    <w:p w:rsidR="0006697E" w:rsidRPr="00A26287" w:rsidRDefault="0006697E" w:rsidP="00280C94">
      <w:pPr>
        <w:numPr>
          <w:ilvl w:val="0"/>
          <w:numId w:val="7"/>
        </w:numPr>
        <w:jc w:val="both"/>
        <w:rPr>
          <w:rFonts w:ascii="Verdana" w:eastAsia="Calibri" w:hAnsi="Verdana"/>
          <w:sz w:val="20"/>
          <w:szCs w:val="22"/>
          <w:lang w:val="en-GB"/>
        </w:rPr>
      </w:pPr>
      <w:r w:rsidRPr="00A26287">
        <w:rPr>
          <w:rFonts w:ascii="Verdana" w:hAnsi="Verdana"/>
          <w:b/>
          <w:sz w:val="20"/>
          <w:szCs w:val="20"/>
          <w:lang w:val="en-GB"/>
        </w:rPr>
        <w:t>Scope of AUP:</w:t>
      </w:r>
      <w:r w:rsidRPr="00A26287">
        <w:rPr>
          <w:rFonts w:ascii="Verdana" w:hAnsi="Verdana"/>
          <w:sz w:val="20"/>
          <w:szCs w:val="20"/>
          <w:lang w:val="en-GB"/>
        </w:rPr>
        <w:t xml:space="preserve"> </w:t>
      </w:r>
      <w:r w:rsidRPr="00A26287">
        <w:rPr>
          <w:rFonts w:ascii="Verdana" w:eastAsia="Calibri" w:hAnsi="Verdana"/>
          <w:sz w:val="20"/>
          <w:szCs w:val="22"/>
          <w:lang w:val="en-GB"/>
        </w:rPr>
        <w:t xml:space="preserve">scope of the AUP includes covered deposits (as a deduction), </w:t>
      </w:r>
      <w:r w:rsidRPr="00A26287">
        <w:rPr>
          <w:rFonts w:ascii="Verdana" w:hAnsi="Verdana"/>
          <w:sz w:val="20"/>
          <w:lang w:val="en-GB"/>
        </w:rPr>
        <w:t xml:space="preserve">derivative adjustment </w:t>
      </w:r>
      <w:r w:rsidRPr="00A26287">
        <w:rPr>
          <w:rFonts w:ascii="Verdana" w:eastAsia="Calibri" w:hAnsi="Verdana"/>
          <w:sz w:val="20"/>
          <w:szCs w:val="22"/>
          <w:lang w:val="en-GB"/>
        </w:rPr>
        <w:t>and intragroup, IPS and promotional loans deductions.</w:t>
      </w:r>
    </w:p>
    <w:p w:rsidR="0006697E" w:rsidRPr="00A26287" w:rsidRDefault="0006697E" w:rsidP="0006697E">
      <w:pPr>
        <w:spacing w:line="276" w:lineRule="auto"/>
        <w:jc w:val="both"/>
        <w:rPr>
          <w:rFonts w:ascii="Verdana" w:hAnsi="Verdana"/>
          <w:sz w:val="20"/>
          <w:szCs w:val="20"/>
          <w:lang w:val="en-GB"/>
        </w:rPr>
      </w:pPr>
    </w:p>
    <w:p w:rsidR="0006697E" w:rsidRPr="00A26287" w:rsidRDefault="0006697E" w:rsidP="00280C94">
      <w:pPr>
        <w:numPr>
          <w:ilvl w:val="0"/>
          <w:numId w:val="7"/>
        </w:numPr>
        <w:jc w:val="both"/>
        <w:rPr>
          <w:rFonts w:ascii="Verdana" w:hAnsi="Verdana"/>
          <w:sz w:val="20"/>
          <w:lang w:val="en-GB"/>
        </w:rPr>
      </w:pPr>
      <w:r w:rsidRPr="00A26287">
        <w:rPr>
          <w:rFonts w:ascii="Verdana" w:hAnsi="Verdana"/>
          <w:b/>
          <w:sz w:val="20"/>
          <w:szCs w:val="20"/>
          <w:lang w:val="en-GB"/>
        </w:rPr>
        <w:t>Discretion of the NRAs:</w:t>
      </w:r>
      <w:r w:rsidRPr="00A26287">
        <w:rPr>
          <w:rFonts w:ascii="Verdana" w:hAnsi="Verdana"/>
          <w:sz w:val="20"/>
          <w:szCs w:val="20"/>
          <w:lang w:val="en-GB"/>
        </w:rPr>
        <w:t xml:space="preserve"> </w:t>
      </w:r>
      <w:r w:rsidRPr="00A26287">
        <w:rPr>
          <w:rFonts w:ascii="Verdana" w:eastAsia="Calibri" w:hAnsi="Verdana"/>
          <w:sz w:val="20"/>
          <w:szCs w:val="22"/>
          <w:lang w:val="en-GB"/>
        </w:rPr>
        <w:t>NRAs are left with the discretion</w:t>
      </w:r>
      <w:r w:rsidRPr="00A26287">
        <w:rPr>
          <w:rFonts w:ascii="Verdana" w:hAnsi="Verdana"/>
          <w:sz w:val="20"/>
          <w:lang w:val="en-GB"/>
        </w:rPr>
        <w:t xml:space="preserve"> to </w:t>
      </w:r>
      <w:r w:rsidRPr="00A26287">
        <w:rPr>
          <w:rFonts w:ascii="Verdana" w:eastAsia="Calibri" w:hAnsi="Verdana"/>
          <w:sz w:val="20"/>
          <w:szCs w:val="22"/>
          <w:lang w:val="en-GB"/>
        </w:rPr>
        <w:t>extent the scope of institutions and the data covered by the AUP. The NRA should inform the SRB, if this discretion is used.</w:t>
      </w:r>
    </w:p>
    <w:p w:rsidR="0006697E" w:rsidRPr="00A26287" w:rsidRDefault="0006697E" w:rsidP="0006697E">
      <w:pPr>
        <w:spacing w:line="276" w:lineRule="auto"/>
        <w:jc w:val="both"/>
        <w:rPr>
          <w:rFonts w:ascii="Verdana" w:hAnsi="Verdana"/>
          <w:sz w:val="20"/>
          <w:lang w:val="en-GB"/>
        </w:rPr>
      </w:pPr>
    </w:p>
    <w:p w:rsidR="0006697E" w:rsidRPr="00A26287" w:rsidRDefault="0006697E" w:rsidP="0006697E">
      <w:pPr>
        <w:jc w:val="both"/>
        <w:rPr>
          <w:rFonts w:ascii="Verdana" w:hAnsi="Verdana"/>
          <w:sz w:val="20"/>
          <w:szCs w:val="22"/>
          <w:lang w:val="en-GB"/>
        </w:rPr>
      </w:pPr>
      <w:r w:rsidRPr="00A26287">
        <w:rPr>
          <w:rFonts w:ascii="Verdana" w:hAnsi="Verdana"/>
          <w:sz w:val="20"/>
          <w:szCs w:val="22"/>
          <w:lang w:val="en-GB"/>
        </w:rPr>
        <w:t>In the Annexes, templates are provided in case an institution is opting for either confirmation by an auditor (</w:t>
      </w:r>
      <w:r w:rsidRPr="00A26287">
        <w:rPr>
          <w:rFonts w:ascii="Verdana" w:hAnsi="Verdana"/>
          <w:sz w:val="20"/>
          <w:lang w:val="en-GB"/>
        </w:rPr>
        <w:t>i.e.</w:t>
      </w:r>
      <w:r w:rsidRPr="00A26287">
        <w:rPr>
          <w:rFonts w:ascii="Verdana" w:hAnsi="Verdana"/>
          <w:sz w:val="20"/>
          <w:szCs w:val="22"/>
          <w:lang w:val="en-GB"/>
        </w:rPr>
        <w:t xml:space="preserve"> AUP) or Sign-off, which ensure that, with regard to additional assurance, the same harmonised approach is taken in all jurisdictions.</w:t>
      </w:r>
    </w:p>
    <w:p w:rsidR="0006697E" w:rsidRPr="00A26287" w:rsidRDefault="0006697E" w:rsidP="0006697E">
      <w:pPr>
        <w:jc w:val="both"/>
        <w:rPr>
          <w:rFonts w:ascii="Verdana" w:hAnsi="Verdana"/>
          <w:sz w:val="20"/>
          <w:szCs w:val="22"/>
          <w:lang w:val="en-GB"/>
        </w:rPr>
      </w:pPr>
    </w:p>
    <w:p w:rsidR="0006697E" w:rsidRPr="00A26287" w:rsidRDefault="0006697E" w:rsidP="0006697E">
      <w:pPr>
        <w:jc w:val="both"/>
        <w:rPr>
          <w:rFonts w:ascii="Verdana" w:hAnsi="Verdana"/>
          <w:sz w:val="20"/>
          <w:szCs w:val="22"/>
          <w:lang w:val="en-GB"/>
        </w:rPr>
      </w:pPr>
      <w:r w:rsidRPr="00A26287">
        <w:rPr>
          <w:rFonts w:ascii="Verdana" w:hAnsi="Verdana"/>
          <w:sz w:val="20"/>
          <w:szCs w:val="22"/>
          <w:lang w:val="en-GB"/>
        </w:rPr>
        <w:t>Institutions should submit the additional assurance documents to the NRAs by 1</w:t>
      </w:r>
      <w:r w:rsidR="00DE238D" w:rsidRPr="00A26287">
        <w:rPr>
          <w:rFonts w:ascii="Verdana" w:hAnsi="Verdana"/>
          <w:sz w:val="20"/>
          <w:szCs w:val="22"/>
          <w:lang w:val="en-GB"/>
        </w:rPr>
        <w:t>0</w:t>
      </w:r>
      <w:r w:rsidRPr="00A26287">
        <w:rPr>
          <w:rFonts w:ascii="Verdana" w:hAnsi="Verdana"/>
          <w:sz w:val="20"/>
          <w:szCs w:val="22"/>
          <w:lang w:val="en-GB"/>
        </w:rPr>
        <w:t xml:space="preserve"> March </w:t>
      </w:r>
      <w:r w:rsidR="00C235D7" w:rsidRPr="00A26287">
        <w:rPr>
          <w:rFonts w:ascii="Verdana" w:hAnsi="Verdana"/>
          <w:sz w:val="20"/>
          <w:szCs w:val="22"/>
          <w:lang w:val="en-GB"/>
        </w:rPr>
        <w:t>2021</w:t>
      </w:r>
      <w:r w:rsidRPr="00A26287">
        <w:rPr>
          <w:rFonts w:ascii="Verdana" w:hAnsi="Verdana"/>
          <w:sz w:val="20"/>
          <w:szCs w:val="22"/>
          <w:lang w:val="en-GB"/>
        </w:rPr>
        <w:t>. The NRAs remain the depositories of these documents, but should provide it to the SRB upon request.</w:t>
      </w:r>
    </w:p>
    <w:p w:rsidR="0006697E" w:rsidRPr="00A26287" w:rsidRDefault="0006697E" w:rsidP="0006697E">
      <w:pPr>
        <w:jc w:val="both"/>
        <w:rPr>
          <w:rFonts w:ascii="Verdana" w:hAnsi="Verdana"/>
          <w:sz w:val="22"/>
          <w:lang w:val="en-GB"/>
        </w:rPr>
      </w:pPr>
      <w:r w:rsidRPr="00A26287">
        <w:rPr>
          <w:rFonts w:ascii="Verdana" w:hAnsi="Verdana"/>
          <w:sz w:val="20"/>
          <w:szCs w:val="22"/>
          <w:lang w:val="en-GB"/>
        </w:rPr>
        <w:br w:type="page"/>
      </w:r>
    </w:p>
    <w:p w:rsidR="0006697E" w:rsidRPr="00A26287" w:rsidRDefault="0006697E" w:rsidP="0006697E">
      <w:pPr>
        <w:keepNext/>
        <w:keepLines/>
        <w:widowControl w:val="0"/>
        <w:spacing w:after="240"/>
        <w:outlineLvl w:val="1"/>
        <w:rPr>
          <w:rFonts w:ascii="Verdana" w:eastAsia="Times New Roman" w:hAnsi="Verdana" w:cs="Arial"/>
          <w:b/>
          <w:snapToGrid w:val="0"/>
          <w:color w:val="0046AD"/>
          <w:szCs w:val="22"/>
          <w:lang w:val="en-GB" w:eastAsia="fi-FI"/>
        </w:rPr>
      </w:pPr>
      <w:bookmarkStart w:id="3" w:name="_Agreed-upon_procedures"/>
      <w:bookmarkEnd w:id="3"/>
      <w:r w:rsidRPr="00A26287">
        <w:rPr>
          <w:rFonts w:ascii="Verdana" w:eastAsia="Times New Roman" w:hAnsi="Verdana" w:cs="Arial"/>
          <w:b/>
          <w:snapToGrid w:val="0"/>
          <w:color w:val="0046AD"/>
          <w:sz w:val="22"/>
          <w:szCs w:val="22"/>
          <w:lang w:val="en-GB" w:eastAsia="fi-FI"/>
        </w:rPr>
        <w:lastRenderedPageBreak/>
        <w:t>2. Agreed-upon procedures</w:t>
      </w: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This section presents the (2.1) scope of the AUP engagement and describes (2.2) the engagement letter and (2.3) the report of factual findings.</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B777B7">
      <w:pPr>
        <w:numPr>
          <w:ilvl w:val="1"/>
          <w:numId w:val="9"/>
        </w:numPr>
        <w:spacing w:after="200" w:line="27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Scope of the AUP engagement</w:t>
      </w:r>
    </w:p>
    <w:p w:rsidR="0006697E" w:rsidRPr="00A26287" w:rsidRDefault="0006697E" w:rsidP="00B777B7">
      <w:pPr>
        <w:spacing w:after="200" w:line="276" w:lineRule="auto"/>
        <w:contextualSpacing/>
        <w:jc w:val="both"/>
        <w:rPr>
          <w:rFonts w:ascii="Verdana" w:eastAsia="Calibri" w:hAnsi="Verdana"/>
          <w:b/>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Annex I defines the scope of the engagement of the AUP. The procedures are to be performed by an external auditor in case an institution opts for the AUP. </w:t>
      </w:r>
    </w:p>
    <w:p w:rsidR="00FD7E6B" w:rsidRPr="00A26287" w:rsidRDefault="00FD7E6B"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NRAs may decide to adapt or extend some of the procedures due to specificities in their jurisdiction. </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Such adaptations by NRAs could include, but are not limited to:</w:t>
      </w:r>
    </w:p>
    <w:p w:rsidR="00C469BE" w:rsidRPr="00A26287" w:rsidRDefault="00C469BE" w:rsidP="0006697E">
      <w:pPr>
        <w:spacing w:after="200" w:line="276" w:lineRule="auto"/>
        <w:contextualSpacing/>
        <w:jc w:val="both"/>
        <w:rPr>
          <w:rFonts w:ascii="Verdana" w:eastAsia="Calibri" w:hAnsi="Verdana"/>
          <w:sz w:val="20"/>
          <w:szCs w:val="20"/>
          <w:lang w:val="en-GB"/>
        </w:rPr>
      </w:pPr>
    </w:p>
    <w:p w:rsidR="0006697E" w:rsidRPr="00A26287" w:rsidRDefault="0006697E" w:rsidP="00280C94">
      <w:pPr>
        <w:numPr>
          <w:ilvl w:val="0"/>
          <w:numId w:val="8"/>
        </w:numPr>
        <w:ind w:left="714" w:hanging="357"/>
        <w:jc w:val="both"/>
        <w:rPr>
          <w:rFonts w:ascii="Verdana" w:hAnsi="Verdana"/>
          <w:sz w:val="20"/>
          <w:szCs w:val="20"/>
        </w:rPr>
      </w:pPr>
      <w:r w:rsidRPr="00A26287">
        <w:rPr>
          <w:rFonts w:ascii="Verdana" w:eastAsia="Calibri" w:hAnsi="Verdana"/>
          <w:sz w:val="20"/>
          <w:szCs w:val="20"/>
          <w:lang w:val="en-GB"/>
        </w:rPr>
        <w:t xml:space="preserve">If there are no Institutional Protection Schemes (IPS) in the jurisdiction, the </w:t>
      </w:r>
      <w:r w:rsidRPr="00A26287">
        <w:rPr>
          <w:rFonts w:ascii="Verdana" w:hAnsi="Verdana"/>
          <w:sz w:val="20"/>
          <w:szCs w:val="20"/>
        </w:rPr>
        <w:t xml:space="preserve">NRA may choose to completely eliminate the procedure 5 from the AUP. </w:t>
      </w:r>
    </w:p>
    <w:p w:rsidR="0006697E" w:rsidRPr="00A26287" w:rsidRDefault="0006697E" w:rsidP="0006697E">
      <w:pPr>
        <w:ind w:left="714"/>
        <w:jc w:val="both"/>
        <w:rPr>
          <w:rFonts w:ascii="Verdana" w:hAnsi="Verdana"/>
          <w:sz w:val="20"/>
          <w:szCs w:val="20"/>
        </w:rPr>
      </w:pPr>
    </w:p>
    <w:p w:rsidR="0006697E" w:rsidRPr="00A26287" w:rsidRDefault="0006697E" w:rsidP="00280C94">
      <w:pPr>
        <w:numPr>
          <w:ilvl w:val="0"/>
          <w:numId w:val="8"/>
        </w:num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If in the jurisdiction derivatives have to be held on-balance sheet, the NRA may choose under “Procedures 3: Derivative adjustment” to take out reference to "2C3” and instead introduce the following procedure: “Verify that field “2C3” is equal to 0”. </w:t>
      </w:r>
    </w:p>
    <w:p w:rsidR="0006697E" w:rsidRPr="00A26287" w:rsidRDefault="0006697E" w:rsidP="0006697E">
      <w:pPr>
        <w:spacing w:after="200" w:line="276" w:lineRule="auto"/>
        <w:ind w:left="720"/>
        <w:contextualSpacing/>
        <w:jc w:val="both"/>
        <w:rPr>
          <w:rFonts w:ascii="Verdana" w:eastAsia="Calibri" w:hAnsi="Verdana"/>
          <w:sz w:val="20"/>
          <w:szCs w:val="20"/>
          <w:lang w:val="en-GB"/>
        </w:rPr>
      </w:pPr>
    </w:p>
    <w:p w:rsidR="0006697E" w:rsidRPr="00A26287" w:rsidRDefault="0006697E" w:rsidP="00280C94">
      <w:pPr>
        <w:numPr>
          <w:ilvl w:val="0"/>
          <w:numId w:val="8"/>
        </w:num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Due to differences in jurisdictions, the SRB did not specify “underlying documents” to be used during the procedures, therefore the NRAs may replace “underlying documents” with the most appropriate reference, e.g. financial statements, balance sheet, derivative sub-ledger and etc.</w:t>
      </w:r>
    </w:p>
    <w:p w:rsidR="0006697E" w:rsidRPr="00A26287" w:rsidRDefault="0006697E" w:rsidP="0006697E">
      <w:pPr>
        <w:spacing w:after="200" w:line="276" w:lineRule="auto"/>
        <w:ind w:left="720"/>
        <w:contextualSpacing/>
        <w:jc w:val="both"/>
        <w:rPr>
          <w:rFonts w:ascii="Verdana" w:eastAsia="Calibri" w:hAnsi="Verdana"/>
          <w:sz w:val="20"/>
          <w:szCs w:val="20"/>
          <w:lang w:val="en-GB"/>
        </w:rPr>
      </w:pPr>
    </w:p>
    <w:p w:rsidR="00FD7E6B" w:rsidRPr="00A26287" w:rsidRDefault="00FD7E6B" w:rsidP="00FD7E6B">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NRAs may further extend the scope of the AUP, which could include procedures regarding other deductions: amount of qualifying liabilities related to clearing activities, central securities depository and arising by virtue of holding client assets or client money.</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The NRAs should inform the SRB in case the template is modified.</w:t>
      </w:r>
    </w:p>
    <w:p w:rsidR="0006697E" w:rsidRPr="00A26287" w:rsidRDefault="0027139E" w:rsidP="0027139E">
      <w:pPr>
        <w:spacing w:after="200" w:line="276" w:lineRule="auto"/>
        <w:contextualSpacing/>
        <w:jc w:val="both"/>
        <w:rPr>
          <w:rFonts w:ascii="Calibri" w:eastAsia="Calibri" w:hAnsi="Calibri"/>
          <w:i/>
          <w:sz w:val="22"/>
          <w:szCs w:val="22"/>
          <w:lang w:val="en-GB"/>
        </w:rPr>
      </w:pPr>
      <w:r w:rsidRPr="00A26287">
        <w:rPr>
          <w:rFonts w:ascii="Verdana" w:eastAsia="Calibri" w:hAnsi="Verdana"/>
          <w:sz w:val="20"/>
          <w:szCs w:val="20"/>
          <w:lang w:val="en-GB"/>
        </w:rPr>
        <w:br w:type="page"/>
      </w:r>
    </w:p>
    <w:p w:rsidR="0006697E" w:rsidRPr="00A26287" w:rsidRDefault="0006697E" w:rsidP="00B777B7">
      <w:pPr>
        <w:numPr>
          <w:ilvl w:val="1"/>
          <w:numId w:val="9"/>
        </w:numPr>
        <w:spacing w:after="200" w:line="27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lastRenderedPageBreak/>
        <w:t>Engagement Letter</w:t>
      </w:r>
    </w:p>
    <w:p w:rsidR="0006697E" w:rsidRPr="00A26287" w:rsidRDefault="0006697E" w:rsidP="00B777B7">
      <w:pPr>
        <w:spacing w:after="200" w:line="276" w:lineRule="auto"/>
        <w:contextualSpacing/>
        <w:jc w:val="both"/>
        <w:rPr>
          <w:rFonts w:ascii="Verdana" w:eastAsia="Calibri" w:hAnsi="Verdana"/>
          <w:b/>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An Engagement Letter is used by the institution and the auditor in order to define an engagement by listing all of the procedures to be performed by the auditor (see section 2.1) and to agree that the Report of Factual Findings (see section 2.3) will be distributed only to the relevant third parties (in this case the SRB and the appropriate NRA).</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The SRB has not created a template for the Engagement Letter to be signed between the institution and the auditor. Nevertheless, it is presumed that the auditor and the institution will follow the illustrated example in </w:t>
      </w:r>
      <w:r w:rsidRPr="00A26287">
        <w:rPr>
          <w:rFonts w:ascii="Verdana" w:eastAsia="Calibri" w:hAnsi="Verdana"/>
          <w:i/>
          <w:sz w:val="20"/>
          <w:szCs w:val="20"/>
          <w:lang w:val="en-GB"/>
        </w:rPr>
        <w:t>Appendix 1 of the International Standard on Related Services (SRS) 4400 on Engagement to Perform Agreed-upon Procedures Regarding Financial Information</w:t>
      </w:r>
      <w:r w:rsidRPr="00A26287">
        <w:rPr>
          <w:rFonts w:ascii="Verdana" w:eastAsia="Calibri" w:hAnsi="Verdana"/>
          <w:sz w:val="20"/>
          <w:szCs w:val="20"/>
          <w:lang w:val="en-GB"/>
        </w:rPr>
        <w:t xml:space="preserve">. </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B777B7">
      <w:pPr>
        <w:numPr>
          <w:ilvl w:val="1"/>
          <w:numId w:val="9"/>
        </w:numPr>
        <w:spacing w:after="200" w:line="27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Report of Factual Findings</w:t>
      </w:r>
    </w:p>
    <w:p w:rsidR="0006697E" w:rsidRPr="00A26287" w:rsidRDefault="0006697E" w:rsidP="00B777B7">
      <w:pPr>
        <w:spacing w:after="200" w:line="276" w:lineRule="auto"/>
        <w:contextualSpacing/>
        <w:jc w:val="both"/>
        <w:rPr>
          <w:rFonts w:ascii="Verdana" w:eastAsia="Calibri" w:hAnsi="Verdana"/>
          <w:b/>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The Report of Factual Findings is the result of the agreed-upon procedure and describes in sufficient detail to the reader the nature and the extent of the work performed. </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The SRB has not created a template for the Report of Factual Findings to be prepared by the auditor, but has provided in Annex II a list of minimum requirements for the report based on the illustrated example in </w:t>
      </w:r>
      <w:r w:rsidRPr="00A26287">
        <w:rPr>
          <w:rFonts w:ascii="Verdana" w:eastAsia="Calibri" w:hAnsi="Verdana"/>
          <w:i/>
          <w:sz w:val="20"/>
          <w:szCs w:val="20"/>
          <w:lang w:val="en-GB"/>
        </w:rPr>
        <w:t>Appendix 2 of the International Standard on Related Services (SRS) 4400 on Engagement to Perform Agreed-upon Procedures Regarding Financial Information</w:t>
      </w:r>
      <w:r w:rsidRPr="00A26287">
        <w:rPr>
          <w:rFonts w:ascii="Verdana" w:eastAsia="Calibri" w:hAnsi="Verdana"/>
          <w:sz w:val="20"/>
          <w:szCs w:val="20"/>
          <w:lang w:val="en-GB"/>
        </w:rPr>
        <w:t xml:space="preserve">. </w:t>
      </w:r>
      <w:bookmarkStart w:id="4" w:name="_Sign-off"/>
      <w:bookmarkEnd w:id="4"/>
    </w:p>
    <w:p w:rsidR="0006697E" w:rsidRPr="00A26287" w:rsidRDefault="0006697E" w:rsidP="0006697E">
      <w:pPr>
        <w:rPr>
          <w:rFonts w:ascii="Verdana" w:hAnsi="Verdana"/>
          <w:sz w:val="20"/>
          <w:lang w:val="en-GB"/>
        </w:rPr>
      </w:pPr>
    </w:p>
    <w:p w:rsidR="0006697E" w:rsidRPr="00A26287" w:rsidRDefault="0006697E" w:rsidP="0006697E">
      <w:pPr>
        <w:keepNext/>
        <w:keepLines/>
        <w:widowControl w:val="0"/>
        <w:spacing w:after="240"/>
        <w:outlineLvl w:val="1"/>
        <w:rPr>
          <w:rFonts w:ascii="Verdana" w:eastAsia="Times New Roman" w:hAnsi="Verdana" w:cs="Arial"/>
          <w:b/>
          <w:snapToGrid w:val="0"/>
          <w:color w:val="0046AD"/>
          <w:sz w:val="22"/>
          <w:szCs w:val="22"/>
          <w:lang w:val="en-GB" w:eastAsia="fi-FI"/>
        </w:rPr>
      </w:pPr>
      <w:bookmarkStart w:id="5" w:name="_3._Sign-off"/>
      <w:bookmarkEnd w:id="5"/>
      <w:r w:rsidRPr="00A26287">
        <w:rPr>
          <w:rFonts w:ascii="Verdana" w:hAnsi="Verdana"/>
          <w:b/>
          <w:color w:val="0046AD"/>
          <w:sz w:val="22"/>
          <w:lang w:val="en-GB"/>
        </w:rPr>
        <w:br w:type="page"/>
      </w:r>
      <w:r w:rsidRPr="00A26287">
        <w:rPr>
          <w:rFonts w:ascii="Verdana" w:eastAsia="Times New Roman" w:hAnsi="Verdana" w:cs="Arial"/>
          <w:b/>
          <w:snapToGrid w:val="0"/>
          <w:color w:val="0046AD"/>
          <w:sz w:val="22"/>
          <w:szCs w:val="22"/>
          <w:lang w:val="en-GB" w:eastAsia="fi-FI"/>
        </w:rPr>
        <w:lastRenderedPageBreak/>
        <w:t>3. Sign-off</w:t>
      </w:r>
    </w:p>
    <w:p w:rsidR="0006697E" w:rsidRPr="00A26287" w:rsidRDefault="00A94E38" w:rsidP="0006697E">
      <w:pPr>
        <w:spacing w:after="200" w:line="276" w:lineRule="auto"/>
        <w:contextualSpacing/>
        <w:jc w:val="both"/>
        <w:rPr>
          <w:rFonts w:ascii="Verdana" w:eastAsia="Calibri" w:hAnsi="Verdana"/>
          <w:sz w:val="20"/>
          <w:szCs w:val="20"/>
          <w:lang w:val="en-GB"/>
        </w:rPr>
      </w:pPr>
      <w:bookmarkStart w:id="6" w:name="_IPS_deduction"/>
      <w:bookmarkStart w:id="7" w:name="_Derivative_adjustment"/>
      <w:bookmarkEnd w:id="6"/>
      <w:bookmarkEnd w:id="7"/>
      <w:r w:rsidRPr="00A26287">
        <w:rPr>
          <w:rFonts w:ascii="Verdana" w:eastAsia="Calibri" w:hAnsi="Verdana"/>
          <w:sz w:val="20"/>
          <w:szCs w:val="20"/>
          <w:lang w:val="en-GB"/>
        </w:rPr>
        <w:t>Annex III presents the template for the Form (‘Sign-off Form’) that institutions shall use in case they for the sign-off option, instead of the AUP.</w:t>
      </w:r>
    </w:p>
    <w:p w:rsidR="00A94E38" w:rsidRPr="00A26287" w:rsidRDefault="00A94E38"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The Sign-off form should be duly signed by a representative of the management body. The management body is referred to in Article 88 of the Capital Requirements Directive 2013/36/EU. </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NRAs may decide to adapt the Sign-off Form due to specificities in their jurisdiction.</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Such adaptations by NRAs could include, but are not limited to:</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280C94">
      <w:pPr>
        <w:numPr>
          <w:ilvl w:val="0"/>
          <w:numId w:val="10"/>
        </w:num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If there are no Institutional Protection Schemes (IPS) in the jurisdiction, the NRA may take out the reference to the IPS from the Sign-off Form.</w:t>
      </w:r>
    </w:p>
    <w:p w:rsidR="0006697E" w:rsidRPr="00A26287" w:rsidRDefault="0006697E" w:rsidP="0006697E">
      <w:pPr>
        <w:spacing w:after="200" w:line="276" w:lineRule="auto"/>
        <w:ind w:left="720"/>
        <w:contextualSpacing/>
        <w:jc w:val="both"/>
        <w:rPr>
          <w:rFonts w:ascii="Verdana" w:eastAsia="Calibri" w:hAnsi="Verdana"/>
          <w:sz w:val="20"/>
          <w:szCs w:val="20"/>
          <w:lang w:val="en-GB"/>
        </w:rPr>
      </w:pPr>
    </w:p>
    <w:p w:rsidR="0006697E" w:rsidRPr="00A26287" w:rsidRDefault="0006697E" w:rsidP="00280C94">
      <w:pPr>
        <w:numPr>
          <w:ilvl w:val="0"/>
          <w:numId w:val="10"/>
        </w:num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The NRA may clarify the person that should sign-off the form by introducing jurisdiction specific reference.</w:t>
      </w: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The NRAs should inform the SRB in case the template is modified.</w:t>
      </w:r>
    </w:p>
    <w:p w:rsidR="0006697E" w:rsidRPr="00A26287" w:rsidRDefault="0006697E" w:rsidP="0006697E">
      <w:pPr>
        <w:spacing w:after="200" w:line="276" w:lineRule="auto"/>
        <w:contextualSpacing/>
        <w:jc w:val="both"/>
        <w:rPr>
          <w:rFonts w:ascii="Verdana" w:hAnsi="Verdana"/>
          <w:sz w:val="20"/>
          <w:lang w:val="en-GB"/>
        </w:rPr>
      </w:pPr>
    </w:p>
    <w:p w:rsidR="0006697E" w:rsidRPr="00A26287" w:rsidRDefault="0006697E" w:rsidP="0006697E">
      <w:pPr>
        <w:spacing w:after="200" w:line="276" w:lineRule="auto"/>
        <w:contextualSpacing/>
        <w:jc w:val="both"/>
        <w:rPr>
          <w:rFonts w:ascii="Verdana" w:eastAsia="Calibri" w:hAnsi="Verdana"/>
          <w:sz w:val="20"/>
          <w:szCs w:val="20"/>
          <w:lang w:val="en-GB"/>
        </w:rPr>
      </w:pPr>
    </w:p>
    <w:p w:rsidR="0006697E" w:rsidRPr="00A26287" w:rsidRDefault="0006697E" w:rsidP="0006697E">
      <w:pPr>
        <w:spacing w:after="200" w:line="276" w:lineRule="auto"/>
        <w:contextualSpacing/>
        <w:jc w:val="both"/>
        <w:rPr>
          <w:rFonts w:ascii="Verdana" w:eastAsia="Calibri" w:hAnsi="Verdana"/>
          <w:color w:val="0046AD"/>
          <w:sz w:val="20"/>
          <w:szCs w:val="20"/>
          <w:lang w:val="en-GB"/>
        </w:rPr>
      </w:pPr>
    </w:p>
    <w:p w:rsidR="0027139E" w:rsidRPr="00A26287" w:rsidRDefault="0006697E" w:rsidP="00920D80">
      <w:pPr>
        <w:spacing w:after="200" w:line="276" w:lineRule="auto"/>
        <w:contextualSpacing/>
        <w:jc w:val="both"/>
        <w:rPr>
          <w:rFonts w:ascii="Verdana" w:hAnsi="Verdana"/>
          <w:b/>
          <w:color w:val="0046AD"/>
          <w:sz w:val="22"/>
        </w:rPr>
      </w:pPr>
      <w:r w:rsidRPr="00A26287">
        <w:rPr>
          <w:rFonts w:ascii="Calibri" w:hAnsi="Calibri"/>
          <w:color w:val="0046AD"/>
          <w:sz w:val="22"/>
          <w:lang w:val="en-GB"/>
        </w:rPr>
        <w:br w:type="page"/>
      </w:r>
      <w:r w:rsidR="00922EF6" w:rsidRPr="00A26287">
        <w:rPr>
          <w:rFonts w:ascii="Verdana" w:eastAsia="Times New Roman" w:hAnsi="Verdana"/>
          <w:b/>
          <w:color w:val="0046AD"/>
          <w:sz w:val="22"/>
          <w:szCs w:val="20"/>
        </w:rPr>
        <w:lastRenderedPageBreak/>
        <w:t>ANNEX I-</w:t>
      </w:r>
      <w:r w:rsidR="0027139E" w:rsidRPr="00A26287">
        <w:rPr>
          <w:rFonts w:ascii="Verdana" w:eastAsia="Times New Roman" w:hAnsi="Verdana"/>
          <w:b/>
          <w:color w:val="0046AD"/>
          <w:sz w:val="22"/>
          <w:szCs w:val="20"/>
        </w:rPr>
        <w:t xml:space="preserve"> Template for the Engagements to Perform Agreed Upon Procedures Regarding Financial Information</w:t>
      </w:r>
    </w:p>
    <w:p w:rsidR="0027139E" w:rsidRPr="00A26287" w:rsidRDefault="0027139E" w:rsidP="0027139E">
      <w:pPr>
        <w:pStyle w:val="Corpotesto"/>
      </w:pPr>
    </w:p>
    <w:p w:rsidR="0027139E" w:rsidRPr="00A26287" w:rsidRDefault="0027139E" w:rsidP="0027139E">
      <w:pPr>
        <w:spacing w:after="200" w:line="276" w:lineRule="auto"/>
        <w:contextualSpacing/>
        <w:jc w:val="center"/>
        <w:rPr>
          <w:rFonts w:ascii="Verdana" w:eastAsia="Calibri" w:hAnsi="Verdana"/>
          <w:sz w:val="20"/>
          <w:szCs w:val="20"/>
          <w:lang w:val="en-GB"/>
        </w:rPr>
      </w:pPr>
    </w:p>
    <w:p w:rsidR="0027139E" w:rsidRPr="00A26287" w:rsidRDefault="0027139E" w:rsidP="0027139E">
      <w:pPr>
        <w:rPr>
          <w:rFonts w:ascii="Verdana" w:eastAsia="Times New Roman" w:hAnsi="Verdana"/>
          <w:b/>
          <w:color w:val="0046AD"/>
          <w:sz w:val="20"/>
          <w:szCs w:val="20"/>
          <w:lang w:val="en-GB"/>
        </w:rPr>
      </w:pPr>
      <w:r w:rsidRPr="00A26287">
        <w:rPr>
          <w:rFonts w:ascii="Verdana" w:eastAsia="Times New Roman" w:hAnsi="Verdana"/>
          <w:b/>
          <w:color w:val="0046AD"/>
          <w:sz w:val="20"/>
          <w:szCs w:val="20"/>
          <w:lang w:val="en-GB"/>
        </w:rPr>
        <w:t>Procedures on 1:</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General activities</w:t>
      </w:r>
    </w:p>
    <w:p w:rsidR="0027139E" w:rsidRPr="00A26287" w:rsidRDefault="0027139E" w:rsidP="0027139E">
      <w:pPr>
        <w:rPr>
          <w:rFonts w:ascii="Verdana" w:eastAsia="Times New Roman" w:hAnsi="Verdana"/>
          <w:color w:val="2E74B5"/>
          <w:sz w:val="20"/>
          <w:szCs w:val="2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275"/>
        <w:gridCol w:w="3402"/>
      </w:tblGrid>
      <w:tr w:rsidR="0027139E" w:rsidRPr="00A26287" w:rsidTr="00CB3ABE">
        <w:trPr>
          <w:trHeight w:val="546"/>
        </w:trPr>
        <w:tc>
          <w:tcPr>
            <w:tcW w:w="6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675"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1.1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SRF </w:t>
            </w:r>
            <w:r w:rsidR="00C235D7" w:rsidRPr="00A26287">
              <w:rPr>
                <w:rFonts w:ascii="Verdana" w:eastAsia="Calibri" w:hAnsi="Verdana"/>
                <w:b/>
                <w:sz w:val="20"/>
                <w:szCs w:val="20"/>
                <w:lang w:val="en-GB"/>
              </w:rPr>
              <w:t>2021</w:t>
            </w:r>
            <w:r w:rsidRPr="00A26287">
              <w:rPr>
                <w:rFonts w:ascii="Verdana" w:eastAsia="Calibri" w:hAnsi="Verdana"/>
                <w:b/>
                <w:sz w:val="20"/>
                <w:szCs w:val="20"/>
                <w:lang w:val="en-GB"/>
              </w:rPr>
              <w:t xml:space="preserve"> </w:t>
            </w:r>
            <w:r w:rsidRPr="00A26287">
              <w:rPr>
                <w:rFonts w:ascii="Verdana" w:hAnsi="Verdana"/>
                <w:b/>
                <w:sz w:val="20"/>
                <w:lang w:val="en-GB"/>
              </w:rPr>
              <w:t>Ex-ante</w:t>
            </w:r>
            <w:r w:rsidRPr="00A26287">
              <w:rPr>
                <w:rFonts w:ascii="Verdana" w:eastAsia="Calibri" w:hAnsi="Verdana"/>
                <w:b/>
                <w:sz w:val="20"/>
                <w:szCs w:val="20"/>
                <w:lang w:val="en-GB"/>
              </w:rPr>
              <w:t xml:space="preserve"> Contributions Reporting Form</w:t>
            </w:r>
            <w:r w:rsidRPr="00A26287">
              <w:rPr>
                <w:rFonts w:ascii="Verdana" w:eastAsia="Calibri" w:hAnsi="Verdana"/>
                <w:sz w:val="20"/>
                <w:szCs w:val="20"/>
                <w:lang w:val="en-GB"/>
              </w:rPr>
              <w:t xml:space="preserve"> (hereafter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submitted by the institution to the resolution authority in accordance with Article 14 of the Commission Delegated Regulation (EU) 2015/63. </w:t>
            </w:r>
            <w:r w:rsidRPr="00A26287">
              <w:rPr>
                <w:rFonts w:ascii="Verdana" w:eastAsia="Calibri" w:hAnsi="Verdana"/>
                <w:color w:val="000000"/>
                <w:sz w:val="20"/>
                <w:szCs w:val="20"/>
                <w:lang w:val="en-GB"/>
              </w:rPr>
              <w:t>Include the Form as annex to this report.</w:t>
            </w:r>
            <w:r w:rsidRPr="00A26287">
              <w:rPr>
                <w:rFonts w:ascii="Verdana" w:eastAsia="Calibri" w:hAnsi="Verdana"/>
                <w:sz w:val="20"/>
                <w:szCs w:val="20"/>
                <w:lang w:val="en-GB"/>
              </w:rPr>
              <w:t xml:space="preserve"> </w:t>
            </w:r>
          </w:p>
        </w:tc>
        <w:tc>
          <w:tcPr>
            <w:tcW w:w="1275" w:type="dxa"/>
            <w:shd w:val="clear" w:color="auto" w:fill="auto"/>
          </w:tcPr>
          <w:p w:rsidR="0027139E" w:rsidRPr="00A26287" w:rsidRDefault="0027139E" w:rsidP="00CB3ABE">
            <w:pPr>
              <w:rPr>
                <w:rFonts w:ascii="Verdana" w:eastAsia="Times New Roman" w:hAnsi="Verdana"/>
                <w:color w:val="2E74B5"/>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675"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1.2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documentation on the procedures</w:t>
            </w:r>
            <w:r w:rsidRPr="00A26287">
              <w:rPr>
                <w:rFonts w:ascii="Verdana" w:eastAsia="Calibri" w:hAnsi="Verdana"/>
                <w:sz w:val="20"/>
                <w:szCs w:val="20"/>
                <w:lang w:val="en-GB"/>
              </w:rPr>
              <w:t xml:space="preserve"> used to extract the data and used to perform controls for ensuring that the reported data are in accordance with the instructions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and other technical guidance provided by the Single Resolution Board or National Resolution Authority.</w:t>
            </w:r>
          </w:p>
          <w:p w:rsidR="0027139E" w:rsidRPr="00A26287" w:rsidRDefault="0027139E" w:rsidP="00CB3ABE">
            <w:pPr>
              <w:rPr>
                <w:rFonts w:ascii="Verdana" w:eastAsia="Calibri" w:hAnsi="Verdana"/>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675"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1.3</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w:t>
            </w:r>
            <w:r w:rsidRPr="00A26287">
              <w:rPr>
                <w:rFonts w:ascii="Verdana" w:eastAsia="Calibri" w:hAnsi="Verdana"/>
                <w:sz w:val="20"/>
                <w:szCs w:val="20"/>
                <w:lang w:val="en-GB"/>
              </w:rPr>
              <w:t xml:space="preserve"> from the management</w:t>
            </w:r>
            <w:r w:rsidRPr="00A26287">
              <w:rPr>
                <w:rFonts w:ascii="Verdana" w:hAnsi="Verdana"/>
                <w:sz w:val="20"/>
                <w:lang w:val="en-GB"/>
              </w:rPr>
              <w:footnoteReference w:id="2"/>
            </w:r>
            <w:r w:rsidRPr="00A26287">
              <w:rPr>
                <w:rFonts w:ascii="Verdana" w:eastAsia="Calibri" w:hAnsi="Verdana"/>
                <w:sz w:val="20"/>
                <w:szCs w:val="20"/>
                <w:lang w:val="en-GB"/>
              </w:rPr>
              <w:t xml:space="preserve"> that the procedures described in the documentation have been implemented and executed.</w:t>
            </w:r>
          </w:p>
          <w:p w:rsidR="0027139E" w:rsidRPr="00A26287" w:rsidRDefault="0027139E" w:rsidP="00CB3ABE">
            <w:pPr>
              <w:rPr>
                <w:rFonts w:ascii="Verdana" w:eastAsia="Calibri" w:hAnsi="Verdana"/>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rPr>
          <w:rFonts w:ascii="Verdana" w:eastAsia="Times New Roman" w:hAnsi="Verdana"/>
          <w:color w:val="2E74B5"/>
          <w:sz w:val="20"/>
          <w:szCs w:val="20"/>
          <w:lang w:val="en-GB"/>
        </w:rPr>
      </w:pPr>
    </w:p>
    <w:p w:rsidR="0027139E" w:rsidRPr="00A26287" w:rsidRDefault="0027139E" w:rsidP="0027139E">
      <w:pPr>
        <w:rPr>
          <w:rFonts w:ascii="Verdana" w:eastAsia="Times New Roman" w:hAnsi="Verdana"/>
          <w:color w:val="2E74B5"/>
          <w:sz w:val="20"/>
          <w:szCs w:val="20"/>
          <w:lang w:val="en-GB"/>
        </w:rPr>
      </w:pPr>
    </w:p>
    <w:p w:rsidR="0027139E" w:rsidRPr="00A26287" w:rsidRDefault="0027139E" w:rsidP="00920D80">
      <w:pPr>
        <w:rPr>
          <w:rFonts w:ascii="Verdana" w:eastAsia="Times New Roman" w:hAnsi="Verdana"/>
          <w:color w:val="2E74B5"/>
          <w:sz w:val="20"/>
          <w:szCs w:val="20"/>
          <w:lang w:val="en-GB"/>
        </w:rPr>
      </w:pPr>
      <w:r w:rsidRPr="00A26287">
        <w:rPr>
          <w:rFonts w:ascii="Verdana" w:eastAsia="Times New Roman" w:hAnsi="Verdana"/>
          <w:color w:val="2E74B5"/>
          <w:sz w:val="20"/>
          <w:szCs w:val="20"/>
          <w:lang w:val="en-GB"/>
        </w:rPr>
        <w:br w:type="page"/>
      </w:r>
      <w:r w:rsidRPr="00A26287">
        <w:rPr>
          <w:rFonts w:ascii="Verdana" w:eastAsia="Times New Roman" w:hAnsi="Verdana"/>
          <w:b/>
          <w:color w:val="0046AD"/>
          <w:sz w:val="20"/>
          <w:szCs w:val="20"/>
          <w:lang w:val="en-GB"/>
        </w:rPr>
        <w:lastRenderedPageBreak/>
        <w:t>Procedures on 2:</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Covered deposits</w:t>
      </w:r>
      <w:r w:rsidRPr="00A26287">
        <w:rPr>
          <w:rFonts w:ascii="Verdana" w:eastAsia="Times New Roman" w:hAnsi="Verdana"/>
          <w:color w:val="0046AD"/>
          <w:sz w:val="20"/>
          <w:szCs w:val="20"/>
          <w:lang w:val="en-GB"/>
        </w:rPr>
        <w:t xml:space="preserve"> (data field “2A3”)</w:t>
      </w:r>
      <w:r w:rsidR="00D56789" w:rsidRPr="00A26287">
        <w:rPr>
          <w:rFonts w:ascii="Verdana" w:eastAsia="Times New Roman" w:hAnsi="Verdana"/>
          <w:color w:val="0046AD"/>
          <w:sz w:val="20"/>
          <w:szCs w:val="20"/>
          <w:lang w:val="en-GB"/>
        </w:rPr>
        <w:t xml:space="preserve"> (when not provided and verified by DGS)</w:t>
      </w:r>
      <w:r w:rsidRPr="00A26287">
        <w:rPr>
          <w:rFonts w:ascii="Verdana" w:eastAsia="Times New Roman" w:hAnsi="Verdana"/>
          <w:color w:val="0046AD"/>
          <w:sz w:val="20"/>
          <w:szCs w:val="20"/>
          <w:lang w:val="en-GB"/>
        </w:rPr>
        <w:t xml:space="preserve"> </w:t>
      </w:r>
    </w:p>
    <w:p w:rsidR="0027139E" w:rsidRPr="00A26287" w:rsidRDefault="0027139E" w:rsidP="0027139E">
      <w:pPr>
        <w:spacing w:after="160" w:line="256" w:lineRule="auto"/>
        <w:ind w:left="720"/>
        <w:contextualSpacing/>
        <w:jc w:val="both"/>
        <w:rPr>
          <w:rFonts w:ascii="Verdana" w:eastAsia="Calibri" w:hAnsi="Verdana"/>
          <w:sz w:val="20"/>
          <w:szCs w:val="20"/>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275"/>
        <w:gridCol w:w="3402"/>
      </w:tblGrid>
      <w:tr w:rsidR="0027139E" w:rsidRPr="00A26287" w:rsidTr="00CB3ABE">
        <w:trPr>
          <w:trHeight w:val="546"/>
        </w:trPr>
        <w:tc>
          <w:tcPr>
            <w:tcW w:w="675" w:type="dxa"/>
            <w:shd w:val="clear" w:color="auto" w:fill="auto"/>
          </w:tcPr>
          <w:p w:rsidR="0027139E" w:rsidRPr="00A26287" w:rsidRDefault="0027139E" w:rsidP="00CB3ABE">
            <w:pPr>
              <w:jc w:val="cente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675"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2.1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legal framework used in identifying deposits for field “2A3” in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is in line with the definition of ‘covered deposits’ as defined in Article 3(10) of the Commission Delegated Regulation (EU) 2015/63 (</w:t>
            </w:r>
            <w:r w:rsidRPr="00A26287">
              <w:rPr>
                <w:rFonts w:ascii="Verdana" w:hAnsi="Verdana"/>
                <w:sz w:val="20"/>
                <w:lang w:val="en-GB"/>
              </w:rPr>
              <w:t>i.e.</w:t>
            </w:r>
            <w:r w:rsidRPr="00A26287">
              <w:rPr>
                <w:rFonts w:ascii="Verdana" w:eastAsia="Calibri" w:hAnsi="Verdana"/>
                <w:sz w:val="20"/>
                <w:szCs w:val="20"/>
                <w:lang w:val="en-GB"/>
              </w:rPr>
              <w:t xml:space="preserve"> “</w:t>
            </w:r>
            <w:r w:rsidRPr="00A26287">
              <w:rPr>
                <w:rFonts w:ascii="Verdana" w:eastAsia="Calibri" w:hAnsi="Verdana"/>
                <w:i/>
                <w:sz w:val="20"/>
                <w:szCs w:val="20"/>
                <w:lang w:val="en-GB"/>
              </w:rPr>
              <w:t>‘covered deposits’ means the deposits referred to in Article 6(1) of Directive 2014/49/EU, excluding temporary high balances as defined in Article 6(2) of that Directive</w:t>
            </w:r>
            <w:r w:rsidRPr="00A26287">
              <w:rPr>
                <w:rFonts w:ascii="Verdana" w:eastAsia="Calibri" w:hAnsi="Verdana"/>
                <w:sz w:val="20"/>
                <w:szCs w:val="20"/>
                <w:lang w:val="en-GB"/>
              </w:rPr>
              <w:t>.”)</w:t>
            </w:r>
          </w:p>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sz w:val="20"/>
                <w:szCs w:val="20"/>
                <w:lang w:val="en-GB"/>
              </w:rPr>
              <w:t xml:space="preserve"> </w:t>
            </w:r>
          </w:p>
        </w:tc>
        <w:tc>
          <w:tcPr>
            <w:tcW w:w="1275" w:type="dxa"/>
            <w:shd w:val="clear" w:color="auto" w:fill="auto"/>
          </w:tcPr>
          <w:p w:rsidR="0027139E" w:rsidRPr="00A26287" w:rsidRDefault="0027139E" w:rsidP="00CB3ABE">
            <w:pPr>
              <w:rPr>
                <w:rFonts w:ascii="Verdana" w:eastAsia="Times New Roman" w:hAnsi="Verdana"/>
                <w:color w:val="2E74B5"/>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675"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2.2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the reconciliation</w:t>
            </w:r>
            <w:r w:rsidRPr="00A26287">
              <w:rPr>
                <w:rFonts w:ascii="Calibri" w:eastAsia="Calibri" w:hAnsi="Calibri"/>
                <w:sz w:val="20"/>
                <w:szCs w:val="20"/>
                <w:vertAlign w:val="superscript"/>
                <w:lang w:val="en-GB"/>
              </w:rPr>
              <w:footnoteReference w:id="3"/>
            </w:r>
            <w:r w:rsidRPr="00A26287">
              <w:rPr>
                <w:rFonts w:ascii="Verdana" w:eastAsia="Calibri" w:hAnsi="Verdana"/>
                <w:b/>
                <w:sz w:val="20"/>
                <w:szCs w:val="20"/>
                <w:lang w:val="en-GB"/>
              </w:rPr>
              <w:t xml:space="preserve"> </w:t>
            </w:r>
            <w:r w:rsidRPr="00A26287">
              <w:rPr>
                <w:rFonts w:ascii="Verdana" w:eastAsia="Calibri" w:hAnsi="Verdana"/>
                <w:sz w:val="20"/>
                <w:szCs w:val="20"/>
                <w:lang w:val="en-GB"/>
              </w:rPr>
              <w:t xml:space="preserve">of total covered deposits amount to the underlying documents and the field “2A3”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r w:rsidRPr="00A26287">
              <w:rPr>
                <w:rFonts w:ascii="Verdana" w:eastAsia="Calibri" w:hAnsi="Verdana"/>
                <w:b/>
                <w:sz w:val="20"/>
                <w:szCs w:val="20"/>
                <w:lang w:val="en-GB"/>
              </w:rPr>
              <w:t xml:space="preserve"> Recalculate</w:t>
            </w:r>
            <w:r w:rsidRPr="00A26287">
              <w:rPr>
                <w:rFonts w:ascii="Calibri" w:eastAsia="Calibri" w:hAnsi="Calibri"/>
                <w:sz w:val="20"/>
                <w:szCs w:val="20"/>
                <w:vertAlign w:val="superscript"/>
                <w:lang w:val="en-GB"/>
              </w:rPr>
              <w:footnoteReference w:id="4"/>
            </w:r>
            <w:r w:rsidRPr="00A26287">
              <w:rPr>
                <w:rFonts w:ascii="Verdana" w:eastAsia="Calibri" w:hAnsi="Verdana"/>
                <w:sz w:val="20"/>
                <w:szCs w:val="20"/>
                <w:lang w:val="en-GB"/>
              </w:rPr>
              <w:t xml:space="preserve"> the total amount in field “2A3”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total amount in field “2A3”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totals on each of the underlying documents.</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rPr>
          <w:rFonts w:ascii="Verdana" w:eastAsia="Times New Roman" w:hAnsi="Verdana"/>
          <w:b/>
          <w:color w:val="0046AD"/>
          <w:sz w:val="20"/>
          <w:szCs w:val="20"/>
          <w:lang w:val="en-GB"/>
        </w:rPr>
      </w:pPr>
      <w:r w:rsidRPr="00A26287">
        <w:rPr>
          <w:rFonts w:ascii="Verdana" w:hAnsi="Verdana"/>
          <w:sz w:val="20"/>
          <w:lang w:val="en-GB"/>
        </w:rPr>
        <w:br w:type="page"/>
      </w:r>
      <w:r w:rsidRPr="00A26287">
        <w:rPr>
          <w:rFonts w:ascii="Verdana" w:eastAsia="Times New Roman" w:hAnsi="Verdana"/>
          <w:b/>
          <w:color w:val="0046AD"/>
          <w:sz w:val="20"/>
          <w:szCs w:val="20"/>
          <w:lang w:val="en-GB"/>
        </w:rPr>
        <w:lastRenderedPageBreak/>
        <w:t>Procedures on 3:</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Derivative adjustments</w:t>
      </w:r>
    </w:p>
    <w:p w:rsidR="0027139E" w:rsidRPr="00A26287" w:rsidRDefault="0027139E" w:rsidP="0027139E">
      <w:pPr>
        <w:rPr>
          <w:rFonts w:ascii="Verdana" w:eastAsia="Times New Roman" w:hAnsi="Verdana"/>
          <w:b/>
          <w:color w:val="0046AD"/>
          <w:sz w:val="20"/>
          <w:szCs w:val="20"/>
          <w:lang w:val="en-GB"/>
        </w:rPr>
      </w:pPr>
    </w:p>
    <w:p w:rsidR="0027139E" w:rsidRPr="00A26287" w:rsidRDefault="0027139E" w:rsidP="0027139E">
      <w:pPr>
        <w:rPr>
          <w:rFonts w:ascii="Verdana" w:eastAsia="Times New Roman" w:hAnsi="Verdana"/>
          <w:color w:val="2E74B5"/>
          <w:sz w:val="20"/>
          <w:szCs w:val="2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8"/>
        <w:gridCol w:w="1275"/>
        <w:gridCol w:w="3402"/>
      </w:tblGrid>
      <w:tr w:rsidR="0027139E" w:rsidRPr="00A26287" w:rsidTr="00CB3ABE">
        <w:trPr>
          <w:trHeight w:val="546"/>
        </w:trPr>
        <w:tc>
          <w:tcPr>
            <w:tcW w:w="959" w:type="dxa"/>
            <w:shd w:val="clear" w:color="auto" w:fill="auto"/>
          </w:tcPr>
          <w:p w:rsidR="0027139E" w:rsidRPr="00A26287" w:rsidRDefault="0027139E" w:rsidP="00CB3ABE">
            <w:pPr>
              <w:jc w:val="cente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3.1</w:t>
            </w:r>
          </w:p>
        </w:tc>
        <w:tc>
          <w:tcPr>
            <w:tcW w:w="3828" w:type="dxa"/>
            <w:shd w:val="clear" w:color="auto" w:fill="auto"/>
          </w:tcPr>
          <w:p w:rsidR="0027139E" w:rsidRPr="00A26287" w:rsidRDefault="0027139E" w:rsidP="00CB3ABE">
            <w:pPr>
              <w:spacing w:after="20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legal framework used in identifying derivatives for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general, and particularly for fields “2C1”, “2C2” and “2C3” is in line with the definition of ‘derivatives’ as defined in Article 3(22) of the Commission Delegated Regulation (EU) 2015/63 (</w:t>
            </w:r>
            <w:r w:rsidRPr="00A26287">
              <w:rPr>
                <w:rFonts w:ascii="Verdana" w:hAnsi="Verdana"/>
                <w:sz w:val="20"/>
                <w:lang w:val="en-GB"/>
              </w:rPr>
              <w:t>i.e.</w:t>
            </w:r>
            <w:r w:rsidRPr="00A26287">
              <w:rPr>
                <w:rFonts w:ascii="Verdana" w:eastAsia="Calibri" w:hAnsi="Verdana"/>
                <w:sz w:val="20"/>
                <w:szCs w:val="20"/>
                <w:lang w:val="en-GB"/>
              </w:rPr>
              <w:t xml:space="preserve"> </w:t>
            </w:r>
            <w:r w:rsidRPr="00A26287">
              <w:rPr>
                <w:rFonts w:ascii="Verdana" w:eastAsia="Calibri" w:hAnsi="Verdana"/>
                <w:i/>
                <w:sz w:val="20"/>
                <w:szCs w:val="20"/>
                <w:lang w:val="en-GB"/>
              </w:rPr>
              <w:t>“’derivatives’ mean derivatives according to Annex II of Regulation (EU) 575/2013”</w:t>
            </w:r>
            <w:r w:rsidRPr="00A26287">
              <w:rPr>
                <w:rFonts w:ascii="Verdana" w:eastAsia="Calibri" w:hAnsi="Verdana"/>
                <w:sz w:val="20"/>
                <w:szCs w:val="20"/>
                <w:lang w:val="en-GB"/>
              </w:rPr>
              <w:t xml:space="preserve"> therefore excluding credit derivatives).</w:t>
            </w:r>
          </w:p>
        </w:tc>
        <w:tc>
          <w:tcPr>
            <w:tcW w:w="1275" w:type="dxa"/>
            <w:shd w:val="clear" w:color="auto" w:fill="auto"/>
          </w:tcPr>
          <w:p w:rsidR="0027139E" w:rsidRPr="00A26287" w:rsidRDefault="0027139E" w:rsidP="00CB3ABE">
            <w:pPr>
              <w:rPr>
                <w:rFonts w:ascii="Verdana" w:eastAsia="Times New Roman" w:hAnsi="Verdana"/>
                <w:color w:val="2E74B5"/>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3.2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amount of accounting value of liabilities arising from all derivative contracts (excluding credit derivatives) held on- and off-balance sheet to the underlying documents and fields “2C2” and “2C3”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w:t>
            </w:r>
            <w:r w:rsidRPr="00A26287">
              <w:rPr>
                <w:rFonts w:ascii="Verdana" w:eastAsia="Calibri" w:hAnsi="Verdana"/>
                <w:b/>
                <w:sz w:val="20"/>
                <w:szCs w:val="20"/>
                <w:lang w:val="en-GB"/>
              </w:rPr>
              <w:t>Recalculate</w:t>
            </w:r>
            <w:r w:rsidRPr="00A26287">
              <w:rPr>
                <w:rFonts w:ascii="Verdana" w:eastAsia="Calibri" w:hAnsi="Verdana"/>
                <w:sz w:val="20"/>
                <w:szCs w:val="20"/>
                <w:lang w:val="en-GB"/>
              </w:rPr>
              <w:t xml:space="preserve"> the total amount in fields “2C2” and “2C3”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total amount in fields “2C2 and “2C3’’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the totals on each of the underlying documents.</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18"/>
                <w:szCs w:val="18"/>
                <w:lang w:val="en-GB"/>
              </w:rPr>
            </w:pPr>
            <w:r w:rsidRPr="00A26287">
              <w:rPr>
                <w:rFonts w:ascii="Verdana" w:eastAsia="Calibri" w:hAnsi="Verdana"/>
                <w:sz w:val="20"/>
                <w:szCs w:val="20"/>
                <w:lang w:val="en-GB"/>
              </w:rPr>
              <w:t>3.3.1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 xml:space="preserve">With regard to the value in field “2C1” of the </w:t>
            </w:r>
            <w:r w:rsidR="00C235D7" w:rsidRPr="00A26287">
              <w:rPr>
                <w:rFonts w:ascii="Verdana" w:eastAsia="Calibri" w:hAnsi="Verdana"/>
                <w:b/>
                <w:sz w:val="20"/>
                <w:szCs w:val="20"/>
                <w:lang w:val="en-GB"/>
              </w:rPr>
              <w:t>2021</w:t>
            </w:r>
            <w:r w:rsidRPr="00A26287">
              <w:rPr>
                <w:rFonts w:ascii="Verdana" w:eastAsia="Calibri" w:hAnsi="Verdana"/>
                <w:b/>
                <w:sz w:val="20"/>
                <w:szCs w:val="20"/>
                <w:lang w:val="en-GB"/>
              </w:rPr>
              <w:t xml:space="preserve"> Reporting Form:</w:t>
            </w:r>
          </w:p>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when identifying the netting agreements in order to report field “2C1” in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the institution considered only those agreement that have been </w:t>
            </w:r>
            <w:r w:rsidRPr="00A26287">
              <w:rPr>
                <w:rFonts w:ascii="Verdana" w:eastAsia="Calibri" w:hAnsi="Verdana"/>
                <w:sz w:val="20"/>
                <w:szCs w:val="20"/>
                <w:lang w:val="en-GB"/>
              </w:rPr>
              <w:lastRenderedPageBreak/>
              <w:t>recognised by competent authorities in accordance with Article 295 CRR (Regulation (EU) No 575/2013) at the reference dates;</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3.3.2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all liabilities arising from derivative contracts (excluding credit derivatives) in field “2C1” of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were valued in accordance with the leverage ratio methodology in accordance with Article 429 of CRR (Regulation (EU) No 575/2013) </w:t>
            </w:r>
            <w:r w:rsidR="00184CDD" w:rsidRPr="00A26287">
              <w:rPr>
                <w:rFonts w:ascii="Verdana" w:eastAsia="Calibri" w:hAnsi="Verdana"/>
                <w:sz w:val="20"/>
                <w:szCs w:val="20"/>
                <w:lang w:val="en-GB"/>
              </w:rPr>
              <w:t xml:space="preserve">at the reference dates; </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3.3.3</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Obtain the reconciliation</w:t>
            </w:r>
            <w:r w:rsidRPr="00A26287">
              <w:rPr>
                <w:rFonts w:ascii="Verdana" w:eastAsia="Calibri" w:hAnsi="Verdana"/>
                <w:sz w:val="20"/>
                <w:szCs w:val="20"/>
                <w:lang w:val="en-GB"/>
              </w:rPr>
              <w:t xml:space="preserve"> of the total amount of liabilities arising from all derivative contracts (excluding credit derivatives) valued in accordance with the leverage ratio methodology to the underlying documents and field “2C1”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w:t>
            </w:r>
            <w:r w:rsidRPr="00A26287">
              <w:rPr>
                <w:rFonts w:ascii="Verdana" w:eastAsia="Calibri" w:hAnsi="Verdana"/>
                <w:b/>
                <w:sz w:val="20"/>
                <w:szCs w:val="20"/>
                <w:lang w:val="en-GB"/>
              </w:rPr>
              <w:t>Recalculate</w:t>
            </w:r>
            <w:r w:rsidRPr="00A26287">
              <w:rPr>
                <w:rFonts w:ascii="Verdana" w:eastAsia="Calibri" w:hAnsi="Verdana"/>
                <w:sz w:val="20"/>
                <w:szCs w:val="20"/>
                <w:lang w:val="en-GB"/>
              </w:rPr>
              <w:t xml:space="preserve"> the total amount in field “2C1”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total amount in fields ‘’2C1’’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the totals on each of the underlying documents.</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rPr>
          <w:rFonts w:ascii="Verdana" w:eastAsia="Times New Roman" w:hAnsi="Verdana"/>
          <w:color w:val="0046AD"/>
          <w:sz w:val="20"/>
          <w:szCs w:val="20"/>
          <w:lang w:val="en-GB"/>
        </w:rPr>
      </w:pPr>
      <w:r w:rsidRPr="00A26287">
        <w:rPr>
          <w:rFonts w:ascii="Verdana" w:hAnsi="Verdana"/>
          <w:sz w:val="20"/>
          <w:szCs w:val="20"/>
          <w:lang w:val="en-GB"/>
        </w:rPr>
        <w:br w:type="page"/>
      </w:r>
      <w:r w:rsidRPr="00A26287">
        <w:rPr>
          <w:rFonts w:ascii="Verdana" w:eastAsia="Times New Roman" w:hAnsi="Verdana"/>
          <w:b/>
          <w:color w:val="0046AD"/>
          <w:sz w:val="20"/>
          <w:szCs w:val="20"/>
          <w:lang w:val="en-GB"/>
        </w:rPr>
        <w:lastRenderedPageBreak/>
        <w:t>Procedures on 4:</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Promotional loans deduction</w:t>
      </w:r>
      <w:r w:rsidRPr="00A26287">
        <w:rPr>
          <w:rFonts w:ascii="Verdana" w:eastAsia="Times New Roman" w:hAnsi="Verdana"/>
          <w:color w:val="0046AD"/>
          <w:sz w:val="20"/>
          <w:szCs w:val="20"/>
          <w:lang w:val="en-GB"/>
        </w:rPr>
        <w:t xml:space="preserve"> (only if an institution applied for the deduction of promotional loans in “Section D” of Deductions tab in the </w:t>
      </w:r>
      <w:r w:rsidR="00C235D7" w:rsidRPr="00A26287">
        <w:rPr>
          <w:rFonts w:ascii="Verdana" w:eastAsia="Times New Roman" w:hAnsi="Verdana"/>
          <w:color w:val="0046AD"/>
          <w:sz w:val="20"/>
          <w:szCs w:val="20"/>
          <w:lang w:val="en-GB"/>
        </w:rPr>
        <w:t>2021</w:t>
      </w:r>
      <w:r w:rsidRPr="00A26287">
        <w:rPr>
          <w:rFonts w:ascii="Verdana" w:eastAsia="Times New Roman" w:hAnsi="Verdana"/>
          <w:color w:val="0046AD"/>
          <w:sz w:val="20"/>
          <w:szCs w:val="20"/>
          <w:lang w:val="en-GB"/>
        </w:rPr>
        <w:t xml:space="preserve"> Reporting Form)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8"/>
        <w:gridCol w:w="1275"/>
        <w:gridCol w:w="3402"/>
      </w:tblGrid>
      <w:tr w:rsidR="0027139E" w:rsidRPr="00A26287" w:rsidTr="00CB3ABE">
        <w:trPr>
          <w:trHeight w:val="546"/>
        </w:trPr>
        <w:tc>
          <w:tcPr>
            <w:tcW w:w="959" w:type="dxa"/>
            <w:shd w:val="clear" w:color="auto" w:fill="auto"/>
          </w:tcPr>
          <w:p w:rsidR="0027139E" w:rsidRPr="00A26287" w:rsidRDefault="0027139E" w:rsidP="00CB3ABE">
            <w:pPr>
              <w:jc w:val="cente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4.1</w:t>
            </w:r>
          </w:p>
        </w:tc>
        <w:tc>
          <w:tcPr>
            <w:tcW w:w="3828" w:type="dxa"/>
            <w:shd w:val="clear" w:color="auto" w:fill="auto"/>
          </w:tcPr>
          <w:p w:rsidR="0027139E" w:rsidRPr="00A26287" w:rsidRDefault="0027139E" w:rsidP="00CB3ABE">
            <w:pPr>
              <w:jc w:val="both"/>
              <w:rPr>
                <w:rFonts w:ascii="Verdana" w:eastAsia="Calibri" w:hAnsi="Verdana"/>
                <w:b/>
                <w:sz w:val="20"/>
                <w:szCs w:val="20"/>
                <w:lang w:val="en-GB"/>
              </w:rPr>
            </w:pPr>
            <w:r w:rsidRPr="00A26287">
              <w:rPr>
                <w:rFonts w:ascii="Verdana" w:eastAsia="Calibri" w:hAnsi="Verdana"/>
                <w:b/>
                <w:sz w:val="20"/>
                <w:szCs w:val="20"/>
                <w:u w:val="single"/>
                <w:lang w:val="en-GB"/>
              </w:rPr>
              <w:t>Only in case</w:t>
            </w:r>
            <w:r w:rsidRPr="00A26287">
              <w:rPr>
                <w:rFonts w:ascii="Verdana" w:eastAsia="Calibri" w:hAnsi="Verdana"/>
                <w:b/>
                <w:sz w:val="20"/>
                <w:szCs w:val="20"/>
                <w:lang w:val="en-GB"/>
              </w:rPr>
              <w:t xml:space="preserve"> an institution qualifies for promotional bank status:</w:t>
            </w:r>
          </w:p>
          <w:p w:rsidR="0027139E" w:rsidRPr="00A26287" w:rsidRDefault="0027139E" w:rsidP="00184CDD">
            <w:pPr>
              <w:numPr>
                <w:ilvl w:val="0"/>
                <w:numId w:val="44"/>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documentation on the basis of which the management of the institution</w:t>
            </w:r>
            <w:r w:rsidRPr="00A26287">
              <w:rPr>
                <w:rFonts w:ascii="Verdana" w:eastAsia="Calibri" w:hAnsi="Verdana"/>
                <w:sz w:val="20"/>
                <w:szCs w:val="20"/>
                <w:lang w:val="en-GB"/>
              </w:rPr>
              <w:t xml:space="preserve"> </w:t>
            </w:r>
            <w:r w:rsidRPr="00A26287">
              <w:rPr>
                <w:rFonts w:ascii="Verdana" w:eastAsia="Calibri" w:hAnsi="Verdana"/>
                <w:b/>
                <w:sz w:val="20"/>
                <w:szCs w:val="20"/>
                <w:lang w:val="en-GB"/>
              </w:rPr>
              <w:t xml:space="preserve">has confirmed </w:t>
            </w:r>
            <w:r w:rsidRPr="00A26287">
              <w:rPr>
                <w:rFonts w:ascii="Verdana" w:eastAsia="Calibri" w:hAnsi="Verdana"/>
                <w:sz w:val="20"/>
                <w:szCs w:val="20"/>
                <w:lang w:val="en-GB"/>
              </w:rPr>
              <w:t>that</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the undertaking or entity was set up by a Member State, central or regional government; and</w:t>
            </w:r>
          </w:p>
          <w:p w:rsidR="0027139E" w:rsidRPr="00A26287" w:rsidRDefault="0027139E" w:rsidP="00184CDD">
            <w:pPr>
              <w:numPr>
                <w:ilvl w:val="0"/>
                <w:numId w:val="44"/>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documentation on the basis of which the management of the institution</w:t>
            </w:r>
            <w:r w:rsidRPr="00A26287">
              <w:rPr>
                <w:rFonts w:ascii="Verdana" w:eastAsia="Calibri" w:hAnsi="Verdana"/>
                <w:sz w:val="20"/>
                <w:szCs w:val="20"/>
                <w:lang w:val="en-GB"/>
              </w:rPr>
              <w:t xml:space="preserve"> </w:t>
            </w:r>
            <w:r w:rsidRPr="00A26287">
              <w:rPr>
                <w:rFonts w:ascii="Verdana" w:eastAsia="Calibri" w:hAnsi="Verdana"/>
                <w:b/>
                <w:sz w:val="20"/>
                <w:szCs w:val="20"/>
                <w:lang w:val="en-GB"/>
              </w:rPr>
              <w:t xml:space="preserve">has confirmed </w:t>
            </w:r>
            <w:r w:rsidRPr="00A26287">
              <w:rPr>
                <w:rFonts w:ascii="Verdana" w:eastAsia="Calibri" w:hAnsi="Verdana"/>
                <w:sz w:val="20"/>
                <w:szCs w:val="20"/>
                <w:lang w:val="en-GB"/>
              </w:rPr>
              <w:t>that</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the central or regional government referred to in (1.1) has an obligation to protect the economic basis of the undertaking or entity and maintain its viability throughout its lifetime, or directly or indirectly guarantees at least 90% of the original funding of the undertaking or entity.</w:t>
            </w:r>
          </w:p>
          <w:p w:rsidR="0027139E" w:rsidRPr="00A26287" w:rsidRDefault="0027139E" w:rsidP="00CB3ABE">
            <w:pPr>
              <w:spacing w:after="160" w:line="256" w:lineRule="auto"/>
              <w:contextualSpacing/>
              <w:jc w:val="both"/>
              <w:rPr>
                <w:rFonts w:ascii="Verdana" w:eastAsia="Calibri" w:hAnsi="Verdana"/>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18"/>
                <w:szCs w:val="18"/>
                <w:lang w:val="en-GB"/>
              </w:rPr>
            </w:pPr>
            <w:r w:rsidRPr="00A26287">
              <w:rPr>
                <w:rFonts w:ascii="Verdana" w:eastAsia="Calibri" w:hAnsi="Verdana"/>
                <w:sz w:val="20"/>
                <w:szCs w:val="20"/>
                <w:lang w:val="en-GB"/>
              </w:rPr>
              <w:t>4.2</w:t>
            </w:r>
          </w:p>
        </w:tc>
        <w:tc>
          <w:tcPr>
            <w:tcW w:w="3828" w:type="dxa"/>
            <w:shd w:val="clear" w:color="auto" w:fill="auto"/>
          </w:tcPr>
          <w:p w:rsidR="0027139E" w:rsidRPr="00A26287" w:rsidRDefault="0027139E" w:rsidP="00CB3ABE">
            <w:pPr>
              <w:spacing w:after="160" w:line="256" w:lineRule="auto"/>
              <w:contextualSpacing/>
              <w:rPr>
                <w:rFonts w:ascii="Verdana" w:eastAsia="Calibri" w:hAnsi="Verdana"/>
                <w:b/>
                <w:sz w:val="20"/>
                <w:szCs w:val="20"/>
                <w:lang w:val="en-GB"/>
              </w:rPr>
            </w:pPr>
            <w:r w:rsidRPr="00A26287">
              <w:rPr>
                <w:rFonts w:ascii="Verdana" w:eastAsia="Calibri" w:hAnsi="Verdana"/>
                <w:b/>
                <w:sz w:val="20"/>
                <w:szCs w:val="20"/>
                <w:u w:val="single"/>
                <w:lang w:val="en-GB"/>
              </w:rPr>
              <w:t>Only in case</w:t>
            </w:r>
            <w:r w:rsidRPr="00A26287">
              <w:rPr>
                <w:rFonts w:ascii="Verdana" w:eastAsia="Calibri" w:hAnsi="Verdana"/>
                <w:b/>
                <w:sz w:val="20"/>
                <w:szCs w:val="20"/>
                <w:lang w:val="en-GB"/>
              </w:rPr>
              <w:t xml:space="preserve"> an institution qualifies for intermediary institution status:</w:t>
            </w:r>
          </w:p>
          <w:p w:rsidR="0027139E" w:rsidRPr="00A26287" w:rsidRDefault="0027139E" w:rsidP="00CB3ABE">
            <w:pPr>
              <w:spacing w:after="160" w:line="256" w:lineRule="auto"/>
              <w:contextualSpacing/>
              <w:jc w:val="both"/>
              <w:rPr>
                <w:rFonts w:ascii="Verdana" w:hAnsi="Verdana"/>
                <w:b/>
                <w:sz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 xml:space="preserve">the promotional loans reported in field “3D5” of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are not provided as credit to the final customer.</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4.3</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following rule has been documented and implemented when</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 xml:space="preserve">reporting field </w:t>
            </w:r>
            <w:r w:rsidRPr="00A26287">
              <w:rPr>
                <w:rFonts w:ascii="Verdana" w:eastAsia="Calibri" w:hAnsi="Verdana"/>
                <w:sz w:val="20"/>
                <w:szCs w:val="20"/>
                <w:lang w:val="en-GB"/>
              </w:rPr>
              <w:lastRenderedPageBreak/>
              <w:t xml:space="preserve">“3D5” of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accordance with Article 5(1)(f) of the Commission Delegated Regulation (EU) 2015/63, 1 EUR of liability in field “3D5” is matched with 1 EUR of promotional loans received (from promotional bank).</w:t>
            </w:r>
          </w:p>
          <w:p w:rsidR="0027139E" w:rsidRPr="00A26287" w:rsidRDefault="0027139E" w:rsidP="00CB3ABE">
            <w:pPr>
              <w:spacing w:after="160" w:line="256" w:lineRule="auto"/>
              <w:contextualSpacing/>
              <w:jc w:val="both"/>
              <w:rPr>
                <w:rFonts w:ascii="Verdana" w:hAnsi="Verdana"/>
                <w:b/>
                <w:sz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4.4</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loans</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 xml:space="preserve">that matched liabilities reported in field “3D5” of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fulfil the following conditions:</w:t>
            </w:r>
          </w:p>
          <w:p w:rsidR="0027139E" w:rsidRPr="00A26287" w:rsidRDefault="0027139E" w:rsidP="0027139E">
            <w:pPr>
              <w:numPr>
                <w:ilvl w:val="0"/>
                <w:numId w:val="35"/>
              </w:numPr>
              <w:spacing w:after="160" w:line="256" w:lineRule="auto"/>
              <w:contextualSpacing/>
              <w:jc w:val="both"/>
              <w:rPr>
                <w:rFonts w:ascii="Verdana" w:eastAsia="Calibri" w:hAnsi="Verdana"/>
                <w:sz w:val="20"/>
                <w:szCs w:val="20"/>
                <w:lang w:val="en-GB"/>
              </w:rPr>
            </w:pPr>
            <w:r w:rsidRPr="00A26287">
              <w:rPr>
                <w:rFonts w:ascii="Verdana" w:eastAsia="Calibri" w:hAnsi="Verdana"/>
                <w:sz w:val="20"/>
                <w:szCs w:val="20"/>
                <w:lang w:val="en-GB"/>
              </w:rPr>
              <w:t>granted on a non-competitive basis;</w:t>
            </w:r>
          </w:p>
          <w:p w:rsidR="0027139E" w:rsidRPr="00A26287" w:rsidRDefault="0027139E" w:rsidP="0027139E">
            <w:pPr>
              <w:numPr>
                <w:ilvl w:val="0"/>
                <w:numId w:val="35"/>
              </w:numPr>
              <w:spacing w:after="160" w:line="256" w:lineRule="auto"/>
              <w:contextualSpacing/>
              <w:jc w:val="both"/>
              <w:rPr>
                <w:rFonts w:ascii="Verdana" w:eastAsia="Calibri" w:hAnsi="Verdana"/>
                <w:sz w:val="20"/>
                <w:szCs w:val="20"/>
                <w:lang w:val="en-GB"/>
              </w:rPr>
            </w:pPr>
            <w:r w:rsidRPr="00A26287">
              <w:rPr>
                <w:rFonts w:ascii="Verdana" w:eastAsia="Calibri" w:hAnsi="Verdana"/>
                <w:sz w:val="20"/>
                <w:szCs w:val="20"/>
                <w:lang w:val="en-GB"/>
              </w:rPr>
              <w:t>granted on a not for profit basis; and</w:t>
            </w:r>
          </w:p>
          <w:p w:rsidR="0027139E" w:rsidRPr="00A26287" w:rsidRDefault="0027139E" w:rsidP="0027139E">
            <w:pPr>
              <w:numPr>
                <w:ilvl w:val="0"/>
                <w:numId w:val="35"/>
              </w:numPr>
              <w:spacing w:after="160" w:line="256" w:lineRule="auto"/>
              <w:contextualSpacing/>
              <w:jc w:val="both"/>
              <w:rPr>
                <w:rFonts w:ascii="Verdana" w:eastAsia="Calibri" w:hAnsi="Verdana"/>
                <w:sz w:val="20"/>
                <w:szCs w:val="20"/>
                <w:lang w:val="en-GB"/>
              </w:rPr>
            </w:pPr>
            <w:r w:rsidRPr="00A26287">
              <w:rPr>
                <w:rFonts w:ascii="Verdana" w:eastAsia="Calibri" w:hAnsi="Verdana"/>
                <w:sz w:val="20"/>
                <w:szCs w:val="20"/>
                <w:lang w:val="en-GB"/>
              </w:rPr>
              <w:t>promote the public policy objectives of the central or regional government referred to in (</w:t>
            </w:r>
            <w:r w:rsidR="00184CDD" w:rsidRPr="00A26287">
              <w:rPr>
                <w:rFonts w:ascii="Verdana" w:eastAsia="Calibri" w:hAnsi="Verdana"/>
                <w:sz w:val="20"/>
                <w:szCs w:val="20"/>
                <w:lang w:val="en-GB"/>
              </w:rPr>
              <w:t>4.</w:t>
            </w:r>
            <w:r w:rsidRPr="00A26287">
              <w:rPr>
                <w:rFonts w:ascii="Verdana" w:eastAsia="Calibri" w:hAnsi="Verdana"/>
                <w:sz w:val="20"/>
                <w:szCs w:val="20"/>
                <w:lang w:val="en-GB"/>
              </w:rPr>
              <w:t>1.1).</w:t>
            </w:r>
          </w:p>
          <w:p w:rsidR="0027139E" w:rsidRPr="00A26287" w:rsidRDefault="0027139E" w:rsidP="00B777B7">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4.5</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amount of total accounting value of qualifying liabilities that arise from promotion loans to the underlying documents and the field “3D5”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w:t>
            </w:r>
            <w:r w:rsidRPr="00A26287">
              <w:rPr>
                <w:rFonts w:ascii="Verdana" w:eastAsia="Calibri" w:hAnsi="Verdana"/>
                <w:b/>
                <w:sz w:val="20"/>
                <w:szCs w:val="20"/>
                <w:lang w:val="en-GB"/>
              </w:rPr>
              <w:t>Recalculate</w:t>
            </w:r>
            <w:r w:rsidRPr="00A26287">
              <w:rPr>
                <w:rFonts w:ascii="Verdana" w:eastAsia="Calibri" w:hAnsi="Verdana"/>
                <w:sz w:val="20"/>
                <w:szCs w:val="20"/>
                <w:lang w:val="en-GB"/>
              </w:rPr>
              <w:t xml:space="preserve"> the total amount in field “3D5”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total amount in fields “3D5’’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the totals on each of the underlying documents.</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spacing w:after="160" w:line="256" w:lineRule="auto"/>
        <w:contextualSpacing/>
        <w:jc w:val="both"/>
        <w:rPr>
          <w:rFonts w:ascii="Verdana" w:eastAsia="Times New Roman" w:hAnsi="Verdana"/>
          <w:color w:val="0046AD"/>
          <w:sz w:val="20"/>
          <w:szCs w:val="20"/>
          <w:lang w:val="en-GB"/>
        </w:rPr>
      </w:pPr>
      <w:r w:rsidRPr="00A26287">
        <w:rPr>
          <w:rFonts w:ascii="Calibri" w:eastAsia="Times New Roman" w:hAnsi="Calibri"/>
          <w:b/>
          <w:color w:val="0046AD"/>
          <w:sz w:val="22"/>
          <w:szCs w:val="20"/>
          <w:lang w:val="en-GB"/>
        </w:rPr>
        <w:br w:type="page"/>
      </w:r>
      <w:r w:rsidRPr="00A26287">
        <w:rPr>
          <w:rFonts w:ascii="Verdana" w:eastAsia="Times New Roman" w:hAnsi="Verdana"/>
          <w:b/>
          <w:color w:val="0046AD"/>
          <w:sz w:val="20"/>
          <w:szCs w:val="20"/>
          <w:lang w:val="en-GB"/>
        </w:rPr>
        <w:lastRenderedPageBreak/>
        <w:t>Procedures on 5:</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IPS deduction</w:t>
      </w:r>
      <w:r w:rsidRPr="00A26287">
        <w:rPr>
          <w:rFonts w:ascii="Verdana" w:eastAsia="Times New Roman" w:hAnsi="Verdana"/>
          <w:color w:val="0046AD"/>
          <w:sz w:val="20"/>
          <w:szCs w:val="20"/>
          <w:lang w:val="en-GB"/>
        </w:rPr>
        <w:t xml:space="preserve"> (only if an institution applied for deduction of the IPS in “Section E” of Deductions tab in the </w:t>
      </w:r>
      <w:r w:rsidR="00C235D7" w:rsidRPr="00A26287">
        <w:rPr>
          <w:rFonts w:ascii="Verdana" w:eastAsia="Times New Roman" w:hAnsi="Verdana"/>
          <w:color w:val="0046AD"/>
          <w:sz w:val="20"/>
          <w:szCs w:val="20"/>
          <w:lang w:val="en-GB"/>
        </w:rPr>
        <w:t>2021</w:t>
      </w:r>
      <w:r w:rsidRPr="00A26287">
        <w:rPr>
          <w:rFonts w:ascii="Verdana" w:eastAsia="Times New Roman" w:hAnsi="Verdana"/>
          <w:color w:val="0046AD"/>
          <w:sz w:val="20"/>
          <w:szCs w:val="20"/>
          <w:lang w:val="en-GB"/>
        </w:rPr>
        <w:t xml:space="preserve"> Reporting Form)</w:t>
      </w:r>
    </w:p>
    <w:p w:rsidR="0027139E" w:rsidRPr="00A26287" w:rsidRDefault="0027139E" w:rsidP="00B777B7">
      <w:pPr>
        <w:spacing w:after="160" w:line="256" w:lineRule="auto"/>
        <w:contextualSpacing/>
        <w:jc w:val="both"/>
        <w:rPr>
          <w:rFonts w:ascii="Verdana" w:eastAsia="Times New Roman" w:hAnsi="Verdana"/>
          <w:color w:val="0046AD"/>
          <w:sz w:val="20"/>
          <w:szCs w:val="2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8"/>
        <w:gridCol w:w="1275"/>
        <w:gridCol w:w="3402"/>
      </w:tblGrid>
      <w:tr w:rsidR="0027139E" w:rsidRPr="00A26287" w:rsidTr="00CB3ABE">
        <w:trPr>
          <w:trHeight w:val="546"/>
        </w:trPr>
        <w:tc>
          <w:tcPr>
            <w:tcW w:w="959" w:type="dxa"/>
            <w:shd w:val="clear" w:color="auto" w:fill="auto"/>
          </w:tcPr>
          <w:p w:rsidR="0027139E" w:rsidRPr="00A26287" w:rsidRDefault="0027139E" w:rsidP="00CB3ABE">
            <w:pPr>
              <w:jc w:val="cente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18"/>
                <w:szCs w:val="18"/>
                <w:lang w:val="en-GB"/>
              </w:rPr>
            </w:pPr>
            <w:r w:rsidRPr="00A26287">
              <w:rPr>
                <w:rFonts w:ascii="Verdana" w:eastAsia="Calibri" w:hAnsi="Verdana"/>
                <w:sz w:val="20"/>
                <w:szCs w:val="20"/>
                <w:lang w:val="en-GB"/>
              </w:rPr>
              <w:t>5.1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Identification of the scope of application of IPS deductions:</w:t>
            </w:r>
          </w:p>
          <w:p w:rsidR="0027139E" w:rsidRPr="00A26287" w:rsidRDefault="0027139E" w:rsidP="00CB3ABE">
            <w:pPr>
              <w:numPr>
                <w:ilvl w:val="0"/>
                <w:numId w:val="21"/>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the list of entities</w:t>
            </w:r>
            <w:r w:rsidRPr="00A26287">
              <w:rPr>
                <w:rFonts w:ascii="Verdana" w:eastAsia="Calibri" w:hAnsi="Verdana"/>
                <w:sz w:val="20"/>
                <w:szCs w:val="20"/>
                <w:lang w:val="en-GB"/>
              </w:rPr>
              <w:t xml:space="preserve"> that comply with the conditions specified in Article 5(1)(b) of Commission Delegated Regulation (EU) 2015/63 on the relevant reference date; and</w:t>
            </w:r>
          </w:p>
          <w:p w:rsidR="0027139E" w:rsidRPr="00A26287" w:rsidRDefault="0027139E" w:rsidP="00CB3ABE">
            <w:pPr>
              <w:numPr>
                <w:ilvl w:val="0"/>
                <w:numId w:val="21"/>
              </w:numPr>
              <w:spacing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only those institutions identified in (1) have been considered for IPS deduction.</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5.2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Deduction of eligible IPS liabilities and assets:</w:t>
            </w:r>
          </w:p>
          <w:p w:rsidR="0027139E" w:rsidRPr="00A26287" w:rsidRDefault="0027139E" w:rsidP="0027139E">
            <w:pPr>
              <w:numPr>
                <w:ilvl w:val="0"/>
                <w:numId w:val="36"/>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a list of IPS liabilities and assets</w:t>
            </w:r>
            <w:r w:rsidRPr="00A26287">
              <w:rPr>
                <w:rFonts w:ascii="Verdana" w:eastAsia="Calibri" w:hAnsi="Verdana"/>
                <w:sz w:val="20"/>
                <w:szCs w:val="20"/>
                <w:lang w:val="en-GB"/>
              </w:rPr>
              <w:t xml:space="preserve"> included in fields “3E5” and “3E9” of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as of the reference date and </w:t>
            </w:r>
            <w:r w:rsidRPr="00A26287">
              <w:rPr>
                <w:rFonts w:ascii="Verdana" w:eastAsia="Calibri" w:hAnsi="Verdana"/>
                <w:b/>
                <w:sz w:val="20"/>
                <w:szCs w:val="20"/>
                <w:lang w:val="en-GB"/>
              </w:rPr>
              <w:t>compare</w:t>
            </w:r>
            <w:r w:rsidRPr="00A26287">
              <w:rPr>
                <w:rFonts w:ascii="Verdana" w:eastAsia="Calibri" w:hAnsi="Verdana"/>
                <w:sz w:val="20"/>
                <w:szCs w:val="20"/>
                <w:lang w:val="en-GB"/>
              </w:rPr>
              <w:t xml:space="preserve"> it with the list obtained in the procedure (1);</w:t>
            </w:r>
          </w:p>
          <w:p w:rsidR="0027139E" w:rsidRPr="00A26287" w:rsidRDefault="0027139E" w:rsidP="0027139E">
            <w:pPr>
              <w:numPr>
                <w:ilvl w:val="0"/>
                <w:numId w:val="36"/>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counterparty or appropriate reporting line (e.g. the IPS) has been informed about the liabilities and assets in (2.1);</w:t>
            </w:r>
          </w:p>
          <w:p w:rsidR="0027139E" w:rsidRPr="00A26287" w:rsidRDefault="0027139E" w:rsidP="0027139E">
            <w:pPr>
              <w:numPr>
                <w:ilvl w:val="0"/>
                <w:numId w:val="36"/>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accounting value of qualifying IPS liabilities to the underlying documents and the field “3E5”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r w:rsidRPr="00A26287">
              <w:rPr>
                <w:rFonts w:ascii="Verdana" w:eastAsia="Calibri" w:hAnsi="Verdana"/>
                <w:b/>
                <w:sz w:val="20"/>
                <w:szCs w:val="20"/>
                <w:lang w:val="en-GB"/>
              </w:rPr>
              <w:t xml:space="preserve"> Recalculate</w:t>
            </w:r>
            <w:r w:rsidRPr="00A26287">
              <w:rPr>
                <w:rFonts w:ascii="Verdana" w:eastAsia="Calibri" w:hAnsi="Verdana"/>
                <w:sz w:val="20"/>
                <w:szCs w:val="20"/>
                <w:lang w:val="en-GB"/>
              </w:rPr>
              <w:t xml:space="preserve"> the total amount in field “3E5”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w:t>
            </w:r>
            <w:r w:rsidRPr="00A26287">
              <w:rPr>
                <w:rFonts w:ascii="Verdana" w:eastAsia="Calibri" w:hAnsi="Verdana"/>
                <w:sz w:val="20"/>
                <w:szCs w:val="20"/>
                <w:lang w:val="en-GB"/>
              </w:rPr>
              <w:lastRenderedPageBreak/>
              <w:t xml:space="preserve">total amount in fields “3E5’’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the totals on each of the underlying documents;</w:t>
            </w:r>
          </w:p>
          <w:p w:rsidR="0027139E" w:rsidRPr="00A26287" w:rsidRDefault="0027139E" w:rsidP="0027139E">
            <w:pPr>
              <w:numPr>
                <w:ilvl w:val="0"/>
                <w:numId w:val="36"/>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accounting value of qualifying IPS assets held by the qualifying IPS member to the underlying documents and the field “3E9”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r w:rsidRPr="00A26287">
              <w:rPr>
                <w:rFonts w:ascii="Verdana" w:eastAsia="Calibri" w:hAnsi="Verdana"/>
                <w:b/>
                <w:sz w:val="20"/>
                <w:szCs w:val="20"/>
                <w:lang w:val="en-GB"/>
              </w:rPr>
              <w:t xml:space="preserve"> Recalculate</w:t>
            </w:r>
            <w:r w:rsidRPr="00A26287">
              <w:rPr>
                <w:rFonts w:ascii="Verdana" w:eastAsia="Calibri" w:hAnsi="Verdana"/>
                <w:sz w:val="20"/>
                <w:szCs w:val="20"/>
                <w:lang w:val="en-GB"/>
              </w:rPr>
              <w:t xml:space="preserve"> the total amount in field “3E9”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and</w:t>
            </w:r>
          </w:p>
          <w:p w:rsidR="0027139E" w:rsidRPr="00A26287" w:rsidRDefault="0027139E" w:rsidP="0027139E">
            <w:pPr>
              <w:numPr>
                <w:ilvl w:val="0"/>
                <w:numId w:val="36"/>
              </w:num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following rule has been documented and implemented when</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filling field “3E10”:</w:t>
            </w:r>
          </w:p>
          <w:p w:rsidR="0027139E" w:rsidRPr="00A26287" w:rsidRDefault="0027139E" w:rsidP="0027139E">
            <w:pPr>
              <w:numPr>
                <w:ilvl w:val="0"/>
                <w:numId w:val="37"/>
              </w:numPr>
              <w:spacing w:after="160" w:line="256" w:lineRule="auto"/>
              <w:contextualSpacing/>
              <w:jc w:val="both"/>
              <w:rPr>
                <w:rFonts w:ascii="Verdana" w:eastAsia="Calibri" w:hAnsi="Verdana"/>
                <w:sz w:val="20"/>
                <w:szCs w:val="20"/>
                <w:lang w:val="en-GB"/>
              </w:rPr>
            </w:pPr>
            <w:r w:rsidRPr="00A26287">
              <w:rPr>
                <w:rFonts w:ascii="Verdana" w:eastAsia="Calibri" w:hAnsi="Verdana"/>
                <w:sz w:val="20"/>
                <w:szCs w:val="20"/>
                <w:lang w:val="en-GB"/>
              </w:rPr>
              <w:t>Verification at which value it is booked as a liability by the group counterpart. In case of mismatch, the value booked by the group counterpart as a liability prevails;</w:t>
            </w:r>
          </w:p>
          <w:p w:rsidR="0027139E" w:rsidRPr="00A26287" w:rsidRDefault="0027139E" w:rsidP="00B42320">
            <w:pPr>
              <w:numPr>
                <w:ilvl w:val="0"/>
                <w:numId w:val="37"/>
              </w:numPr>
              <w:spacing w:after="160" w:line="256" w:lineRule="auto"/>
              <w:contextualSpacing/>
              <w:jc w:val="both"/>
              <w:rPr>
                <w:rFonts w:ascii="Verdana" w:eastAsia="Calibri" w:hAnsi="Verdana"/>
                <w:b/>
                <w:sz w:val="20"/>
                <w:szCs w:val="20"/>
                <w:lang w:val="en-GB"/>
              </w:rPr>
            </w:pPr>
            <w:r w:rsidRPr="00A26287">
              <w:rPr>
                <w:rFonts w:ascii="Verdana" w:eastAsia="Calibri" w:hAnsi="Verdana"/>
                <w:i/>
                <w:sz w:val="20"/>
                <w:szCs w:val="20"/>
                <w:lang w:val="en-GB"/>
              </w:rPr>
              <w:t>When applicable,</w:t>
            </w:r>
            <w:r w:rsidRPr="00A26287">
              <w:rPr>
                <w:rFonts w:ascii="Verdana" w:eastAsia="Calibri" w:hAnsi="Verdana"/>
                <w:sz w:val="20"/>
                <w:szCs w:val="20"/>
                <w:lang w:val="en-GB"/>
              </w:rPr>
              <w:t xml:space="preserve"> application of the leverage ratio methodology and verification whether it matches the leverage value after floor calculated by the group counterpart. In case of mismatch, the value calculated by the group counterpart as a liability prevails. </w:t>
            </w: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rPr>
          <w:rFonts w:ascii="Verdana" w:eastAsia="Times New Roman" w:hAnsi="Verdana"/>
          <w:color w:val="0046AD"/>
          <w:sz w:val="20"/>
          <w:szCs w:val="20"/>
          <w:lang w:val="en-GB"/>
        </w:rPr>
      </w:pPr>
      <w:r w:rsidRPr="00A26287">
        <w:rPr>
          <w:rFonts w:ascii="Verdana" w:eastAsia="Times New Roman" w:hAnsi="Verdana"/>
          <w:b/>
          <w:color w:val="0046AD"/>
          <w:sz w:val="20"/>
          <w:szCs w:val="20"/>
          <w:lang w:val="en-GB"/>
        </w:rPr>
        <w:br w:type="page"/>
      </w:r>
      <w:r w:rsidRPr="00A26287">
        <w:rPr>
          <w:rFonts w:ascii="Verdana" w:eastAsia="Times New Roman" w:hAnsi="Verdana"/>
          <w:b/>
          <w:color w:val="0046AD"/>
          <w:sz w:val="20"/>
          <w:szCs w:val="20"/>
          <w:lang w:val="en-GB"/>
        </w:rPr>
        <w:lastRenderedPageBreak/>
        <w:t>Procedures on 6:</w:t>
      </w:r>
      <w:r w:rsidRPr="00A26287">
        <w:rPr>
          <w:rFonts w:ascii="Verdana" w:eastAsia="Times New Roman" w:hAnsi="Verdana"/>
          <w:color w:val="0046AD"/>
          <w:sz w:val="20"/>
          <w:szCs w:val="20"/>
          <w:lang w:val="en-GB"/>
        </w:rPr>
        <w:t xml:space="preserve"> </w:t>
      </w:r>
      <w:r w:rsidRPr="00A26287">
        <w:rPr>
          <w:rFonts w:ascii="Verdana" w:eastAsia="Times New Roman" w:hAnsi="Verdana"/>
          <w:b/>
          <w:color w:val="0046AD"/>
          <w:sz w:val="20"/>
          <w:szCs w:val="20"/>
          <w:lang w:val="en-GB"/>
        </w:rPr>
        <w:t>Intragroup deduction</w:t>
      </w:r>
      <w:r w:rsidRPr="00A26287">
        <w:rPr>
          <w:rFonts w:ascii="Verdana" w:eastAsia="Times New Roman" w:hAnsi="Verdana"/>
          <w:color w:val="0046AD"/>
          <w:sz w:val="20"/>
          <w:szCs w:val="20"/>
          <w:lang w:val="en-GB"/>
        </w:rPr>
        <w:t xml:space="preserve"> (only if an institution applied for the intragroup deduction in “Section F” of Deductions tab in the </w:t>
      </w:r>
      <w:r w:rsidR="00C235D7" w:rsidRPr="00A26287">
        <w:rPr>
          <w:rFonts w:ascii="Verdana" w:eastAsia="Times New Roman" w:hAnsi="Verdana"/>
          <w:color w:val="0046AD"/>
          <w:sz w:val="20"/>
          <w:szCs w:val="20"/>
          <w:lang w:val="en-GB"/>
        </w:rPr>
        <w:t>2021</w:t>
      </w:r>
      <w:r w:rsidRPr="00A26287">
        <w:rPr>
          <w:rFonts w:ascii="Verdana" w:eastAsia="Times New Roman" w:hAnsi="Verdana"/>
          <w:color w:val="0046AD"/>
          <w:sz w:val="20"/>
          <w:szCs w:val="20"/>
          <w:lang w:val="en-GB"/>
        </w:rPr>
        <w:t xml:space="preserve"> Reporting Form)</w:t>
      </w:r>
    </w:p>
    <w:p w:rsidR="0027139E" w:rsidRPr="00A26287" w:rsidRDefault="0027139E" w:rsidP="0027139E">
      <w:pPr>
        <w:rPr>
          <w:rFonts w:ascii="Verdana" w:eastAsia="Times New Roman" w:hAnsi="Verdana"/>
          <w:color w:val="2E74B5"/>
          <w:sz w:val="20"/>
          <w:szCs w:val="2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828"/>
        <w:gridCol w:w="1275"/>
        <w:gridCol w:w="3402"/>
      </w:tblGrid>
      <w:tr w:rsidR="0027139E" w:rsidRPr="00A26287" w:rsidTr="00CB3ABE">
        <w:trPr>
          <w:trHeight w:val="546"/>
        </w:trPr>
        <w:tc>
          <w:tcPr>
            <w:tcW w:w="959" w:type="dxa"/>
            <w:shd w:val="clear" w:color="auto" w:fill="auto"/>
          </w:tcPr>
          <w:p w:rsidR="0027139E" w:rsidRPr="00A26287" w:rsidRDefault="0027139E" w:rsidP="00CB3ABE">
            <w:pPr>
              <w:jc w:val="center"/>
              <w:rPr>
                <w:rFonts w:ascii="Verdana" w:eastAsia="Calibri" w:hAnsi="Verdana"/>
                <w:b/>
                <w:sz w:val="20"/>
                <w:szCs w:val="20"/>
                <w:lang w:val="en-GB"/>
              </w:rPr>
            </w:pPr>
            <w:r w:rsidRPr="00A26287">
              <w:rPr>
                <w:rFonts w:ascii="Verdana" w:eastAsia="Calibri" w:hAnsi="Verdana"/>
                <w:b/>
                <w:sz w:val="20"/>
                <w:szCs w:val="20"/>
                <w:lang w:val="en-GB"/>
              </w:rPr>
              <w:t>#</w:t>
            </w:r>
          </w:p>
        </w:tc>
        <w:tc>
          <w:tcPr>
            <w:tcW w:w="3828"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Procedure</w:t>
            </w:r>
          </w:p>
        </w:tc>
        <w:tc>
          <w:tcPr>
            <w:tcW w:w="1275"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 xml:space="preserve"> Finding  </w:t>
            </w:r>
          </w:p>
          <w:p w:rsidR="0027139E" w:rsidRPr="00A26287" w:rsidRDefault="0027139E" w:rsidP="00CB3ABE">
            <w:pPr>
              <w:rPr>
                <w:rFonts w:ascii="Verdana" w:eastAsia="Calibri" w:hAnsi="Verdana"/>
                <w:sz w:val="16"/>
                <w:szCs w:val="16"/>
                <w:lang w:val="en-GB"/>
              </w:rPr>
            </w:pPr>
            <w:r w:rsidRPr="00A26287">
              <w:rPr>
                <w:rFonts w:ascii="Verdana" w:eastAsia="Calibri" w:hAnsi="Verdana"/>
                <w:sz w:val="16"/>
                <w:szCs w:val="16"/>
                <w:lang w:val="en-GB"/>
              </w:rPr>
              <w:t>(Yes/No/NA)</w:t>
            </w:r>
          </w:p>
        </w:tc>
        <w:tc>
          <w:tcPr>
            <w:tcW w:w="3402" w:type="dxa"/>
            <w:shd w:val="clear" w:color="auto" w:fill="auto"/>
          </w:tcPr>
          <w:p w:rsidR="0027139E" w:rsidRPr="00A26287" w:rsidRDefault="0027139E" w:rsidP="00CB3ABE">
            <w:pPr>
              <w:rPr>
                <w:rFonts w:ascii="Verdana" w:eastAsia="Calibri" w:hAnsi="Verdana"/>
                <w:b/>
                <w:sz w:val="20"/>
                <w:szCs w:val="20"/>
                <w:lang w:val="en-GB"/>
              </w:rPr>
            </w:pPr>
            <w:r w:rsidRPr="00A26287">
              <w:rPr>
                <w:rFonts w:ascii="Verdana" w:eastAsia="Calibri" w:hAnsi="Verdana"/>
                <w:b/>
                <w:sz w:val="20"/>
                <w:szCs w:val="20"/>
                <w:lang w:val="en-GB"/>
              </w:rPr>
              <w:t>Description  factual findings or/and comments</w:t>
            </w: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18"/>
                <w:szCs w:val="18"/>
                <w:lang w:val="en-GB"/>
              </w:rPr>
            </w:pPr>
            <w:r w:rsidRPr="00A26287">
              <w:rPr>
                <w:rFonts w:ascii="Verdana" w:eastAsia="Calibri" w:hAnsi="Verdana"/>
                <w:sz w:val="20"/>
                <w:szCs w:val="20"/>
                <w:lang w:val="en-GB"/>
              </w:rPr>
              <w:t>6.1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Identification of the scope of application of intragroup deductions:</w:t>
            </w:r>
            <w:r w:rsidRPr="00A26287">
              <w:rPr>
                <w:rFonts w:ascii="Verdana" w:eastAsia="Calibri" w:hAnsi="Verdana"/>
                <w:sz w:val="20"/>
                <w:szCs w:val="20"/>
                <w:lang w:val="en-GB"/>
              </w:rPr>
              <w:t xml:space="preserve"> </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pPr>
              <w:rPr>
                <w:rFonts w:ascii="Verdana" w:eastAsia="Calibri" w:hAnsi="Verdana"/>
                <w:sz w:val="20"/>
                <w:szCs w:val="20"/>
                <w:lang w:val="en-GB"/>
              </w:rPr>
            </w:pPr>
          </w:p>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6.1.1</w:t>
            </w:r>
          </w:p>
        </w:tc>
        <w:tc>
          <w:tcPr>
            <w:tcW w:w="3828" w:type="dxa"/>
            <w:shd w:val="clear" w:color="auto" w:fill="auto"/>
          </w:tcPr>
          <w:p w:rsidR="0027139E" w:rsidRPr="00A26287" w:rsidRDefault="0027139E" w:rsidP="00CB3ABE">
            <w:r w:rsidRPr="00A26287">
              <w:rPr>
                <w:rFonts w:ascii="Verdana" w:eastAsia="Calibri" w:hAnsi="Verdana"/>
                <w:b/>
                <w:sz w:val="20"/>
                <w:szCs w:val="20"/>
                <w:lang w:val="en-GB"/>
              </w:rPr>
              <w:t>Obtain the list of entities</w:t>
            </w:r>
            <w:r w:rsidRPr="00A26287">
              <w:rPr>
                <w:rFonts w:ascii="Verdana" w:eastAsia="Calibri" w:hAnsi="Verdana"/>
                <w:sz w:val="20"/>
                <w:szCs w:val="20"/>
                <w:lang w:val="en-GB"/>
              </w:rPr>
              <w:t xml:space="preserve"> </w:t>
            </w:r>
            <w:r w:rsidRPr="00A26287">
              <w:rPr>
                <w:rFonts w:ascii="Verdana" w:eastAsia="Calibri" w:hAnsi="Verdana"/>
                <w:b/>
                <w:sz w:val="20"/>
                <w:szCs w:val="20"/>
                <w:lang w:val="en-GB"/>
              </w:rPr>
              <w:t>that according to the assessment by the management of the institution</w:t>
            </w:r>
            <w:r w:rsidRPr="00A26287">
              <w:rPr>
                <w:rFonts w:ascii="Verdana" w:eastAsia="Calibri" w:hAnsi="Verdana"/>
                <w:sz w:val="20"/>
                <w:szCs w:val="20"/>
                <w:lang w:val="en-GB"/>
              </w:rPr>
              <w:t xml:space="preserve"> comply with the condition specified in Article 5(1)(a)(iii) of Commission Delegated Regulation (EU) 2015/63 on the relevant reference date;</w:t>
            </w: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6.1.2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the list of entities</w:t>
            </w:r>
            <w:r w:rsidRPr="00A26287">
              <w:rPr>
                <w:rFonts w:ascii="Verdana" w:eastAsia="Calibri" w:hAnsi="Verdana"/>
                <w:sz w:val="20"/>
                <w:szCs w:val="20"/>
                <w:lang w:val="en-GB"/>
              </w:rPr>
              <w:t xml:space="preserve"> that have been identified in (1.1) and comply with the conditions specified in Article 5(1)(a)(i) &amp; (ii) of Commission Delegated Regulation (EU) 2015/63 on the relevant reference date considering that an institution which is part of the same group and is established in an EEA-EFTA country cannot be included in the list until the Bank Recovery and Resolution Directive 2014/59/EU has been incorporat</w:t>
            </w:r>
            <w:r w:rsidR="00184CDD" w:rsidRPr="00A26287">
              <w:rPr>
                <w:rFonts w:ascii="Verdana" w:eastAsia="Calibri" w:hAnsi="Verdana"/>
                <w:sz w:val="20"/>
                <w:szCs w:val="20"/>
                <w:lang w:val="en-GB"/>
              </w:rPr>
              <w:t>ed into the EEA Agreement;</w:t>
            </w:r>
          </w:p>
          <w:p w:rsidR="0027139E" w:rsidRPr="00A26287" w:rsidRDefault="0027139E" w:rsidP="00CB3ABE">
            <w:pPr>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6.1.3</w:t>
            </w:r>
          </w:p>
        </w:tc>
        <w:tc>
          <w:tcPr>
            <w:tcW w:w="3828" w:type="dxa"/>
            <w:shd w:val="clear" w:color="auto" w:fill="auto"/>
          </w:tcPr>
          <w:p w:rsidR="0027139E" w:rsidRPr="00A26287" w:rsidRDefault="0027139E" w:rsidP="00CB3ABE">
            <w:pPr>
              <w:spacing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only those institutions identified in (6.1.2) have been considered for intragroup deduction.</w:t>
            </w:r>
          </w:p>
          <w:p w:rsidR="0027139E" w:rsidRPr="00A26287" w:rsidRDefault="0027139E" w:rsidP="00CB3ABE">
            <w:pPr>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b/>
                <w:sz w:val="20"/>
                <w:szCs w:val="20"/>
                <w:lang w:val="en-GB"/>
              </w:rPr>
            </w:pPr>
            <w:r w:rsidRPr="00A26287">
              <w:rPr>
                <w:rFonts w:ascii="Verdana" w:eastAsia="Calibri" w:hAnsi="Verdana"/>
                <w:b/>
                <w:sz w:val="20"/>
                <w:szCs w:val="20"/>
                <w:lang w:val="en-GB"/>
              </w:rPr>
              <w:t>Deduction of eligible intragroup liabilities and assets:</w:t>
            </w:r>
          </w:p>
          <w:p w:rsidR="0027139E" w:rsidRPr="00A26287" w:rsidRDefault="0027139E" w:rsidP="00CB3ABE">
            <w:pPr>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6.2.1</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the list of intragroup liabilities and assets</w:t>
            </w:r>
            <w:r w:rsidRPr="00A26287">
              <w:rPr>
                <w:rFonts w:ascii="Verdana" w:eastAsia="Calibri" w:hAnsi="Verdana"/>
                <w:sz w:val="20"/>
                <w:szCs w:val="20"/>
                <w:lang w:val="en-GB"/>
              </w:rPr>
              <w:t xml:space="preserve"> included in fields “3F5” and “3F9” of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by counterparty and </w:t>
            </w:r>
            <w:r w:rsidRPr="00A26287">
              <w:rPr>
                <w:rFonts w:ascii="Verdana" w:eastAsia="Calibri" w:hAnsi="Verdana"/>
                <w:b/>
                <w:sz w:val="20"/>
                <w:szCs w:val="20"/>
                <w:lang w:val="en-GB"/>
              </w:rPr>
              <w:t>compare</w:t>
            </w:r>
            <w:r w:rsidRPr="00A26287">
              <w:rPr>
                <w:rFonts w:ascii="Verdana" w:eastAsia="Calibri" w:hAnsi="Verdana"/>
                <w:sz w:val="20"/>
                <w:szCs w:val="20"/>
                <w:lang w:val="en-GB"/>
              </w:rPr>
              <w:t xml:space="preserve"> that the 5 counterparties </w:t>
            </w:r>
            <w:r w:rsidRPr="00A26287">
              <w:rPr>
                <w:rFonts w:ascii="Verdana" w:eastAsia="Calibri" w:hAnsi="Verdana"/>
                <w:sz w:val="20"/>
                <w:szCs w:val="20"/>
                <w:lang w:val="en-GB"/>
              </w:rPr>
              <w:lastRenderedPageBreak/>
              <w:t>with the highest total liabilities and assets are contained in the list obtained in the procedure (6.1.2);</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6.2.2</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counterparty or appropriate reporting line (e.g. parent company) has been informed about the liabilities and assets in (6.2.1);</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6.2.3</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accounting value of qualifying intragroup liabilities to the underlying documents and the field “3F5”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r w:rsidRPr="00A26287">
              <w:rPr>
                <w:rFonts w:ascii="Verdana" w:eastAsia="Calibri" w:hAnsi="Verdana"/>
                <w:b/>
                <w:sz w:val="20"/>
                <w:szCs w:val="20"/>
                <w:lang w:val="en-GB"/>
              </w:rPr>
              <w:t xml:space="preserve"> Recalculate</w:t>
            </w:r>
            <w:r w:rsidRPr="00A26287">
              <w:rPr>
                <w:rFonts w:ascii="Verdana" w:eastAsia="Calibri" w:hAnsi="Verdana"/>
                <w:sz w:val="20"/>
                <w:szCs w:val="20"/>
                <w:lang w:val="en-GB"/>
              </w:rPr>
              <w:t xml:space="preserve"> the total amount in field “3F5”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In case of multiple underlying documents, recalculate the total amount in fields ‘’3F5’’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 from the totals on each of the underlying documents; </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6.2.4</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 xml:space="preserve">Obtain the reconciliation </w:t>
            </w:r>
            <w:r w:rsidRPr="00A26287">
              <w:rPr>
                <w:rFonts w:ascii="Verdana" w:eastAsia="Calibri" w:hAnsi="Verdana"/>
                <w:sz w:val="20"/>
                <w:szCs w:val="20"/>
                <w:lang w:val="en-GB"/>
              </w:rPr>
              <w:t xml:space="preserve">of the total accounting value of qualifying intragroup assets to the underlying documents and the field “3F9”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r w:rsidRPr="00A26287">
              <w:rPr>
                <w:rFonts w:ascii="Verdana" w:eastAsia="Calibri" w:hAnsi="Verdana"/>
                <w:b/>
                <w:sz w:val="20"/>
                <w:szCs w:val="20"/>
                <w:lang w:val="en-GB"/>
              </w:rPr>
              <w:t xml:space="preserve"> Recalculate</w:t>
            </w:r>
            <w:r w:rsidRPr="00A26287">
              <w:rPr>
                <w:rFonts w:ascii="Verdana" w:eastAsia="Calibri" w:hAnsi="Verdana"/>
                <w:sz w:val="20"/>
                <w:szCs w:val="20"/>
                <w:lang w:val="en-GB"/>
              </w:rPr>
              <w:t xml:space="preserve"> the total amount in field “3F9” in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p>
          <w:p w:rsidR="0027139E" w:rsidRPr="00A26287" w:rsidRDefault="0027139E" w:rsidP="00CB3ABE">
            <w:pPr>
              <w:spacing w:after="160" w:line="256" w:lineRule="auto"/>
              <w:contextualSpacing/>
              <w:jc w:val="both"/>
              <w:rPr>
                <w:rFonts w:ascii="Verdana" w:hAnsi="Verdana"/>
                <w:b/>
                <w:sz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r w:rsidR="0027139E" w:rsidRPr="00A26287" w:rsidTr="00CB3ABE">
        <w:tc>
          <w:tcPr>
            <w:tcW w:w="959" w:type="dxa"/>
            <w:shd w:val="clear" w:color="auto" w:fill="auto"/>
          </w:tcPr>
          <w:p w:rsidR="0027139E" w:rsidRPr="00A26287" w:rsidRDefault="0027139E" w:rsidP="00CB3ABE">
            <w:pPr>
              <w:rPr>
                <w:rFonts w:ascii="Verdana" w:eastAsia="Calibri" w:hAnsi="Verdana"/>
                <w:sz w:val="20"/>
                <w:szCs w:val="20"/>
                <w:lang w:val="en-GB"/>
              </w:rPr>
            </w:pPr>
            <w:r w:rsidRPr="00A26287">
              <w:rPr>
                <w:rFonts w:ascii="Verdana" w:eastAsia="Calibri" w:hAnsi="Verdana"/>
                <w:sz w:val="20"/>
                <w:szCs w:val="20"/>
                <w:lang w:val="en-GB"/>
              </w:rPr>
              <w:t>6.2.5</w:t>
            </w:r>
          </w:p>
        </w:tc>
        <w:tc>
          <w:tcPr>
            <w:tcW w:w="3828" w:type="dxa"/>
            <w:shd w:val="clear" w:color="auto" w:fill="auto"/>
          </w:tcPr>
          <w:p w:rsidR="0027139E" w:rsidRPr="00A26287" w:rsidRDefault="0027139E" w:rsidP="00CB3ABE">
            <w:pPr>
              <w:spacing w:after="160" w:line="256" w:lineRule="auto"/>
              <w:contextualSpacing/>
              <w:jc w:val="both"/>
              <w:rPr>
                <w:rFonts w:ascii="Verdana" w:eastAsia="Calibri" w:hAnsi="Verdana"/>
                <w:sz w:val="20"/>
                <w:szCs w:val="20"/>
                <w:lang w:val="en-GB"/>
              </w:rPr>
            </w:pPr>
            <w:r w:rsidRPr="00A26287">
              <w:rPr>
                <w:rFonts w:ascii="Verdana" w:eastAsia="Calibri" w:hAnsi="Verdana"/>
                <w:b/>
                <w:sz w:val="20"/>
                <w:szCs w:val="20"/>
                <w:lang w:val="en-GB"/>
              </w:rPr>
              <w:t>Obtain written confirmation from the management of the institution</w:t>
            </w:r>
            <w:r w:rsidRPr="00A26287">
              <w:rPr>
                <w:rFonts w:ascii="Verdana" w:eastAsia="Calibri" w:hAnsi="Verdana"/>
                <w:sz w:val="20"/>
                <w:szCs w:val="20"/>
                <w:lang w:val="en-GB"/>
              </w:rPr>
              <w:t xml:space="preserve"> that the following rule has been documented and implemented when</w:t>
            </w:r>
            <w:r w:rsidRPr="00A26287">
              <w:rPr>
                <w:rFonts w:ascii="Verdana" w:eastAsia="Calibri" w:hAnsi="Verdana"/>
                <w:b/>
                <w:sz w:val="20"/>
                <w:szCs w:val="20"/>
                <w:lang w:val="en-GB"/>
              </w:rPr>
              <w:t xml:space="preserve"> </w:t>
            </w:r>
            <w:r w:rsidRPr="00A26287">
              <w:rPr>
                <w:rFonts w:ascii="Verdana" w:eastAsia="Calibri" w:hAnsi="Verdana"/>
                <w:sz w:val="20"/>
                <w:szCs w:val="20"/>
                <w:lang w:val="en-GB"/>
              </w:rPr>
              <w:t>filling field “3F10”:</w:t>
            </w:r>
          </w:p>
          <w:p w:rsidR="0027139E" w:rsidRPr="00A26287" w:rsidRDefault="0027139E" w:rsidP="0027139E">
            <w:pPr>
              <w:numPr>
                <w:ilvl w:val="0"/>
                <w:numId w:val="38"/>
              </w:numPr>
              <w:spacing w:after="160" w:line="256" w:lineRule="auto"/>
              <w:ind w:hanging="181"/>
              <w:contextualSpacing/>
              <w:jc w:val="both"/>
              <w:rPr>
                <w:rFonts w:ascii="Verdana" w:eastAsia="Calibri" w:hAnsi="Verdana"/>
                <w:sz w:val="20"/>
                <w:szCs w:val="20"/>
                <w:lang w:val="en-GB"/>
              </w:rPr>
            </w:pPr>
            <w:r w:rsidRPr="00A26287">
              <w:rPr>
                <w:rFonts w:ascii="Verdana" w:eastAsia="Calibri" w:hAnsi="Verdana"/>
                <w:sz w:val="20"/>
                <w:szCs w:val="20"/>
                <w:lang w:val="en-GB"/>
              </w:rPr>
              <w:t>Verification at which value it is booked as a liability by the group counterpart. In case of mismatch, the value booked by the group counterpart as a liability prevails; and</w:t>
            </w:r>
          </w:p>
          <w:p w:rsidR="0027139E" w:rsidRPr="00A26287" w:rsidRDefault="0027139E" w:rsidP="0027139E">
            <w:pPr>
              <w:numPr>
                <w:ilvl w:val="0"/>
                <w:numId w:val="38"/>
              </w:numPr>
              <w:spacing w:after="160" w:line="256" w:lineRule="auto"/>
              <w:ind w:hanging="181"/>
              <w:contextualSpacing/>
              <w:jc w:val="both"/>
              <w:rPr>
                <w:rFonts w:ascii="Verdana" w:eastAsia="Calibri" w:hAnsi="Verdana"/>
                <w:sz w:val="20"/>
                <w:szCs w:val="20"/>
                <w:lang w:val="en-GB"/>
              </w:rPr>
            </w:pPr>
            <w:r w:rsidRPr="00A26287">
              <w:rPr>
                <w:rFonts w:ascii="Verdana" w:eastAsia="Calibri" w:hAnsi="Verdana"/>
                <w:i/>
                <w:sz w:val="20"/>
                <w:szCs w:val="20"/>
                <w:lang w:val="en-GB"/>
              </w:rPr>
              <w:lastRenderedPageBreak/>
              <w:t>When applicable,</w:t>
            </w:r>
            <w:r w:rsidRPr="00A26287">
              <w:rPr>
                <w:rFonts w:ascii="Verdana" w:eastAsia="Calibri" w:hAnsi="Verdana"/>
                <w:sz w:val="20"/>
                <w:szCs w:val="20"/>
                <w:lang w:val="en-GB"/>
              </w:rPr>
              <w:t xml:space="preserve"> application of the leverage ratio methodology and verification whether it matches the leverage value after floor calculated by the group counterpart. In case of mismatch, the value calculated by the group counterpart as a liability prevails. </w:t>
            </w:r>
          </w:p>
          <w:p w:rsidR="0027139E" w:rsidRPr="00A26287" w:rsidRDefault="0027139E" w:rsidP="00CB3ABE">
            <w:pPr>
              <w:spacing w:after="160" w:line="256" w:lineRule="auto"/>
              <w:contextualSpacing/>
              <w:jc w:val="both"/>
              <w:rPr>
                <w:rFonts w:ascii="Verdana" w:eastAsia="Calibri" w:hAnsi="Verdana"/>
                <w:b/>
                <w:sz w:val="20"/>
                <w:szCs w:val="20"/>
                <w:lang w:val="en-GB"/>
              </w:rPr>
            </w:pPr>
          </w:p>
        </w:tc>
        <w:tc>
          <w:tcPr>
            <w:tcW w:w="1275" w:type="dxa"/>
            <w:shd w:val="clear" w:color="auto" w:fill="auto"/>
          </w:tcPr>
          <w:p w:rsidR="0027139E" w:rsidRPr="00A26287" w:rsidRDefault="0027139E" w:rsidP="00CB3ABE"/>
        </w:tc>
        <w:tc>
          <w:tcPr>
            <w:tcW w:w="3402" w:type="dxa"/>
            <w:shd w:val="clear" w:color="auto" w:fill="auto"/>
          </w:tcPr>
          <w:p w:rsidR="0027139E" w:rsidRPr="00A26287" w:rsidRDefault="0027139E" w:rsidP="00CB3ABE">
            <w:pPr>
              <w:rPr>
                <w:rFonts w:ascii="Verdana" w:eastAsia="Calibri" w:hAnsi="Verdana"/>
                <w:sz w:val="20"/>
                <w:szCs w:val="20"/>
                <w:lang w:val="en-GB"/>
              </w:rPr>
            </w:pPr>
          </w:p>
        </w:tc>
      </w:tr>
    </w:tbl>
    <w:p w:rsidR="0027139E" w:rsidRPr="00A26287" w:rsidRDefault="0027139E" w:rsidP="0027139E">
      <w:pPr>
        <w:rPr>
          <w:rFonts w:ascii="Verdana" w:eastAsia="Times New Roman" w:hAnsi="Verdana"/>
          <w:color w:val="2E74B5"/>
          <w:sz w:val="20"/>
          <w:szCs w:val="20"/>
          <w:lang w:val="en-GB"/>
        </w:rPr>
      </w:pPr>
    </w:p>
    <w:p w:rsidR="0027139E" w:rsidRPr="00A26287" w:rsidRDefault="0027139E" w:rsidP="0027139E">
      <w:pPr>
        <w:spacing w:after="160" w:line="256" w:lineRule="auto"/>
        <w:ind w:left="1800"/>
        <w:contextualSpacing/>
        <w:jc w:val="both"/>
        <w:rPr>
          <w:rFonts w:ascii="Verdana" w:eastAsia="Calibri" w:hAnsi="Verdana"/>
          <w:sz w:val="20"/>
          <w:szCs w:val="20"/>
          <w:lang w:val="en-GB"/>
        </w:rPr>
      </w:pPr>
    </w:p>
    <w:p w:rsidR="0006697E" w:rsidRPr="00A26287" w:rsidRDefault="0027139E" w:rsidP="0006697E">
      <w:pPr>
        <w:jc w:val="both"/>
        <w:rPr>
          <w:rFonts w:ascii="Verdana" w:hAnsi="Verdana"/>
          <w:sz w:val="20"/>
          <w:szCs w:val="20"/>
          <w:lang w:val="en-GB"/>
        </w:rPr>
      </w:pPr>
      <w:r w:rsidRPr="00A26287">
        <w:rPr>
          <w:rFonts w:ascii="Verdana" w:hAnsi="Verdana"/>
          <w:i/>
          <w:sz w:val="20"/>
          <w:lang w:val="en-GB"/>
        </w:rPr>
        <w:br w:type="page"/>
      </w:r>
      <w:r w:rsidR="0006697E" w:rsidRPr="00A26287">
        <w:rPr>
          <w:rFonts w:ascii="Verdana" w:eastAsia="Times New Roman" w:hAnsi="Verdana"/>
          <w:b/>
          <w:color w:val="0046AD"/>
          <w:sz w:val="22"/>
          <w:szCs w:val="20"/>
        </w:rPr>
        <w:lastRenderedPageBreak/>
        <w:t xml:space="preserve">ANNEX II – </w:t>
      </w:r>
      <w:r w:rsidR="0006697E" w:rsidRPr="00A26287">
        <w:rPr>
          <w:rFonts w:ascii="Verdana" w:eastAsia="Times New Roman" w:hAnsi="Verdana"/>
          <w:b/>
          <w:color w:val="0046AD"/>
          <w:sz w:val="22"/>
          <w:szCs w:val="20"/>
          <w:lang w:val="en-GB"/>
        </w:rPr>
        <w:t>Report of Factual Findings</w:t>
      </w:r>
    </w:p>
    <w:p w:rsidR="0006697E" w:rsidRPr="00A26287" w:rsidRDefault="0006697E" w:rsidP="0006697E">
      <w:pPr>
        <w:jc w:val="both"/>
        <w:rPr>
          <w:rFonts w:ascii="Verdana" w:eastAsia="Times New Roman" w:hAnsi="Verdana"/>
          <w:b/>
          <w:color w:val="0046AD"/>
          <w:sz w:val="20"/>
          <w:szCs w:val="20"/>
          <w:lang w:val="en-GB"/>
        </w:rPr>
      </w:pPr>
    </w:p>
    <w:p w:rsidR="0006697E" w:rsidRPr="00A26287" w:rsidRDefault="0006697E" w:rsidP="0006697E">
      <w:pPr>
        <w:jc w:val="both"/>
        <w:rPr>
          <w:rFonts w:ascii="Verdana" w:eastAsia="Times New Roman" w:hAnsi="Verdana"/>
          <w:b/>
          <w:color w:val="0046AD"/>
          <w:sz w:val="20"/>
          <w:szCs w:val="20"/>
          <w:lang w:val="en-GB"/>
        </w:rPr>
      </w:pPr>
    </w:p>
    <w:p w:rsidR="0006697E" w:rsidRPr="00A26287" w:rsidRDefault="0006697E" w:rsidP="0006697E">
      <w:pPr>
        <w:spacing w:after="200" w:line="276" w:lineRule="auto"/>
        <w:jc w:val="both"/>
        <w:rPr>
          <w:rFonts w:ascii="Verdana" w:eastAsia="Calibri" w:hAnsi="Verdana"/>
          <w:sz w:val="20"/>
          <w:szCs w:val="20"/>
          <w:lang w:val="en-GB"/>
        </w:rPr>
      </w:pPr>
      <w:r w:rsidRPr="00A26287">
        <w:rPr>
          <w:rFonts w:ascii="Verdana" w:eastAsia="Calibri" w:hAnsi="Verdana"/>
          <w:sz w:val="20"/>
          <w:szCs w:val="20"/>
          <w:lang w:val="en-GB"/>
        </w:rPr>
        <w:t xml:space="preserve">The report of factual findings should contain, at least, the following: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Title;</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Addressee (ordinarily the client who engaged the auditor to perform the agreed-upon procedures);</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Identification of specific financial or non-financial information to which the agreed-upon procedures have been applied (in this case reference to the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Data Reporting Form);</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A statement that the procedures performed were those agreed upon with the recipient and provided by the NRAs;</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A statement that the engagement was performed in accordance with the International Standard on Related Services applicable to agreed-upon procedures engagements, or with relevant national standards or practices;</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When relevant a statement that the auditor is not independent of the entity;</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Identification of the purpose for which the agreed-upon procedures were performed;</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A listing of the specific procedures performed in line with the procedures provided by the NRAs;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A description of the auditor’s factual findings including </w:t>
      </w:r>
      <w:r w:rsidR="009D0D29" w:rsidRPr="00A26287">
        <w:rPr>
          <w:rFonts w:ascii="Verdana" w:eastAsia="Calibri" w:hAnsi="Verdana"/>
          <w:sz w:val="20"/>
          <w:szCs w:val="20"/>
          <w:lang w:val="en-GB"/>
        </w:rPr>
        <w:t xml:space="preserve">exceptions found with </w:t>
      </w:r>
      <w:r w:rsidRPr="00A26287">
        <w:rPr>
          <w:rFonts w:ascii="Verdana" w:eastAsia="Calibri" w:hAnsi="Verdana"/>
          <w:sz w:val="20"/>
          <w:szCs w:val="20"/>
          <w:lang w:val="en-GB"/>
        </w:rPr>
        <w:t>sufficient details of errors an</w:t>
      </w:r>
      <w:r w:rsidR="009D0D29" w:rsidRPr="00A26287">
        <w:rPr>
          <w:rFonts w:ascii="Verdana" w:eastAsia="Calibri" w:hAnsi="Verdana"/>
          <w:sz w:val="20"/>
          <w:szCs w:val="20"/>
          <w:lang w:val="en-GB"/>
        </w:rPr>
        <w:t>d the a</w:t>
      </w:r>
      <w:r w:rsidR="009B59FB" w:rsidRPr="00A26287">
        <w:rPr>
          <w:rFonts w:ascii="Verdana" w:eastAsia="Calibri" w:hAnsi="Verdana"/>
          <w:sz w:val="20"/>
          <w:szCs w:val="20"/>
          <w:lang w:val="en-GB"/>
        </w:rPr>
        <w:t>mount calculated by the auditor</w:t>
      </w:r>
      <w:r w:rsidRPr="00A26287">
        <w:rPr>
          <w:rFonts w:ascii="Verdana" w:eastAsia="Calibri" w:hAnsi="Verdana"/>
          <w:sz w:val="20"/>
          <w:szCs w:val="20"/>
          <w:lang w:val="en-GB"/>
        </w:rPr>
        <w:t xml:space="preserve">;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Statement that the procedures performed do not constitute either an audit or a review and, as such, no assurance is expressed;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A statement that had the auditor performed additional procedures, an audit or a review, other matters might have come to light that would have been reported;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A statement that the report is restricted to those parties that have agreed to the procedures to be performed;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A statement (when applicable) that the report relates only to the elements, accounts, items or financial and non-financial information specified and that it does not extend to the entity’s financial statements taken as a whole;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 xml:space="preserve">Date of the report; </w:t>
      </w:r>
    </w:p>
    <w:p w:rsidR="0006697E" w:rsidRPr="00A26287" w:rsidRDefault="0006697E" w:rsidP="00280C94">
      <w:pPr>
        <w:numPr>
          <w:ilvl w:val="0"/>
          <w:numId w:val="11"/>
        </w:numPr>
        <w:spacing w:after="60" w:line="276" w:lineRule="auto"/>
        <w:ind w:left="714" w:hanging="357"/>
        <w:jc w:val="both"/>
        <w:rPr>
          <w:rFonts w:ascii="Verdana" w:eastAsia="Calibri" w:hAnsi="Verdana"/>
          <w:sz w:val="20"/>
          <w:szCs w:val="20"/>
          <w:lang w:val="en-GB"/>
        </w:rPr>
      </w:pPr>
      <w:r w:rsidRPr="00A26287">
        <w:rPr>
          <w:rFonts w:ascii="Verdana" w:eastAsia="Calibri" w:hAnsi="Verdana"/>
          <w:sz w:val="20"/>
          <w:szCs w:val="20"/>
          <w:lang w:val="en-GB"/>
        </w:rPr>
        <w:t>Auditor’s address; and</w:t>
      </w:r>
    </w:p>
    <w:p w:rsidR="0006697E" w:rsidRPr="00A26287" w:rsidRDefault="0006697E" w:rsidP="00280C94">
      <w:pPr>
        <w:numPr>
          <w:ilvl w:val="0"/>
          <w:numId w:val="11"/>
        </w:numPr>
        <w:spacing w:after="200" w:line="276" w:lineRule="auto"/>
        <w:contextualSpacing/>
        <w:jc w:val="both"/>
        <w:rPr>
          <w:rFonts w:ascii="Verdana" w:eastAsia="Calibri" w:hAnsi="Verdana"/>
          <w:sz w:val="20"/>
          <w:szCs w:val="20"/>
          <w:lang w:val="en-GB"/>
        </w:rPr>
      </w:pPr>
      <w:r w:rsidRPr="00A26287">
        <w:rPr>
          <w:rFonts w:ascii="Verdana" w:eastAsia="Calibri" w:hAnsi="Verdana"/>
          <w:sz w:val="20"/>
          <w:szCs w:val="20"/>
          <w:lang w:val="en-GB"/>
        </w:rPr>
        <w:t>Auditor’s signature.</w:t>
      </w:r>
    </w:p>
    <w:p w:rsidR="0006697E" w:rsidRPr="00A26287" w:rsidRDefault="0006697E" w:rsidP="0006697E">
      <w:pPr>
        <w:jc w:val="both"/>
        <w:rPr>
          <w:rFonts w:ascii="Verdana" w:eastAsia="Times New Roman" w:hAnsi="Verdana"/>
          <w:b/>
          <w:color w:val="0046AD"/>
          <w:sz w:val="22"/>
          <w:szCs w:val="20"/>
          <w:lang w:val="en-GB"/>
        </w:rPr>
      </w:pPr>
      <w:r w:rsidRPr="00A26287">
        <w:rPr>
          <w:rFonts w:ascii="Verdana" w:hAnsi="Verdana"/>
          <w:i/>
          <w:sz w:val="20"/>
          <w:lang w:val="en-GB"/>
        </w:rPr>
        <w:br w:type="page"/>
      </w:r>
      <w:r w:rsidRPr="00A26287">
        <w:rPr>
          <w:rFonts w:ascii="Verdana" w:eastAsia="Times New Roman" w:hAnsi="Verdana"/>
          <w:b/>
          <w:color w:val="0046AD"/>
          <w:sz w:val="22"/>
          <w:szCs w:val="20"/>
        </w:rPr>
        <w:lastRenderedPageBreak/>
        <w:t xml:space="preserve">ANNEX III – </w:t>
      </w:r>
      <w:r w:rsidRPr="00A26287">
        <w:rPr>
          <w:rFonts w:ascii="Verdana" w:eastAsia="Times New Roman" w:hAnsi="Verdana"/>
          <w:b/>
          <w:color w:val="0046AD"/>
          <w:sz w:val="22"/>
          <w:szCs w:val="20"/>
          <w:lang w:val="en-GB"/>
        </w:rPr>
        <w:t>Template for the Sign-off Form</w:t>
      </w:r>
    </w:p>
    <w:p w:rsidR="00920D80" w:rsidRPr="00A26287" w:rsidRDefault="00920D80" w:rsidP="0006697E">
      <w:pPr>
        <w:jc w:val="both"/>
        <w:rPr>
          <w:rFonts w:ascii="Verdana" w:eastAsia="Times New Roman" w:hAnsi="Verdana"/>
          <w:b/>
          <w:color w:val="0046AD"/>
          <w:sz w:val="22"/>
          <w:szCs w:val="20"/>
          <w:lang w:val="en-GB"/>
        </w:rPr>
      </w:pPr>
    </w:p>
    <w:p w:rsidR="00B6342B" w:rsidRPr="00A26287" w:rsidRDefault="00B6342B" w:rsidP="00B6342B">
      <w:pPr>
        <w:jc w:val="both"/>
        <w:rPr>
          <w:rFonts w:ascii="Verdana" w:eastAsia="Times New Roman" w:hAnsi="Verdana"/>
          <w:b/>
          <w:color w:val="0046AD"/>
          <w:sz w:val="20"/>
          <w:szCs w:val="20"/>
          <w:lang w:val="en-GB"/>
        </w:rPr>
      </w:pPr>
    </w:p>
    <w:p w:rsidR="00B6342B" w:rsidRPr="00A26287" w:rsidRDefault="00B6342B" w:rsidP="00B6342B">
      <w:pPr>
        <w:rPr>
          <w:rFonts w:ascii="Verdana" w:hAnsi="Verdana"/>
          <w:sz w:val="20"/>
          <w:szCs w:val="20"/>
          <w:lang w:val="en-GB"/>
        </w:rPr>
      </w:pPr>
      <w:r w:rsidRPr="00A26287">
        <w:rPr>
          <w:rFonts w:ascii="Verdana" w:hAnsi="Verdana"/>
          <w:sz w:val="20"/>
          <w:szCs w:val="20"/>
          <w:lang w:val="en-GB"/>
        </w:rPr>
        <w:t xml:space="preserve">To: </w:t>
      </w:r>
      <w:r w:rsidRPr="00A26287">
        <w:rPr>
          <w:rFonts w:ascii="Verdana" w:hAnsi="Verdana"/>
          <w:sz w:val="20"/>
          <w:szCs w:val="20"/>
          <w:lang w:val="en-GB"/>
        </w:rPr>
        <w:tab/>
        <w:t>{Name of the NRA}</w:t>
      </w:r>
    </w:p>
    <w:p w:rsidR="00B6342B" w:rsidRPr="00A26287" w:rsidRDefault="00B6342B" w:rsidP="00B6342B">
      <w:pPr>
        <w:ind w:firstLine="708"/>
        <w:rPr>
          <w:rFonts w:ascii="Verdana" w:hAnsi="Verdana"/>
          <w:sz w:val="20"/>
          <w:szCs w:val="20"/>
          <w:lang w:val="en-GB"/>
        </w:rPr>
      </w:pPr>
      <w:r w:rsidRPr="00A26287">
        <w:rPr>
          <w:rFonts w:ascii="Verdana" w:hAnsi="Verdana"/>
          <w:sz w:val="20"/>
          <w:szCs w:val="20"/>
          <w:lang w:val="en-GB"/>
        </w:rPr>
        <w:t>{Name of the contact person}</w:t>
      </w:r>
    </w:p>
    <w:p w:rsidR="00B6342B" w:rsidRPr="00A26287" w:rsidRDefault="00B6342B" w:rsidP="00B6342B">
      <w:pPr>
        <w:ind w:firstLine="708"/>
        <w:rPr>
          <w:rFonts w:ascii="Verdana" w:hAnsi="Verdana"/>
          <w:sz w:val="20"/>
          <w:szCs w:val="20"/>
          <w:lang w:val="en-GB"/>
        </w:rPr>
      </w:pPr>
      <w:r w:rsidRPr="00A26287">
        <w:rPr>
          <w:rFonts w:ascii="Verdana" w:hAnsi="Verdana"/>
          <w:sz w:val="20"/>
          <w:szCs w:val="20"/>
          <w:lang w:val="en-GB"/>
        </w:rPr>
        <w:t>{Department}</w:t>
      </w:r>
    </w:p>
    <w:p w:rsidR="00B6342B" w:rsidRPr="00A26287" w:rsidRDefault="00B6342B" w:rsidP="00B6342B">
      <w:pPr>
        <w:ind w:firstLine="708"/>
        <w:rPr>
          <w:rFonts w:ascii="Verdana" w:hAnsi="Verdana"/>
          <w:sz w:val="20"/>
          <w:szCs w:val="20"/>
          <w:lang w:val="en-GB"/>
        </w:rPr>
      </w:pPr>
      <w:r w:rsidRPr="00A26287">
        <w:rPr>
          <w:rFonts w:ascii="Verdana" w:hAnsi="Verdana"/>
          <w:sz w:val="20"/>
          <w:szCs w:val="20"/>
          <w:lang w:val="en-GB"/>
        </w:rPr>
        <w:t>{Address}</w:t>
      </w:r>
    </w:p>
    <w:p w:rsidR="00B6342B" w:rsidRPr="00A26287" w:rsidRDefault="00B6342B" w:rsidP="00B6342B">
      <w:pPr>
        <w:rPr>
          <w:rFonts w:ascii="Verdana" w:hAnsi="Verdana"/>
          <w:sz w:val="20"/>
          <w:szCs w:val="20"/>
          <w:lang w:val="en-GB"/>
        </w:rPr>
      </w:pPr>
    </w:p>
    <w:p w:rsidR="00B6342B" w:rsidRPr="00A26287" w:rsidRDefault="00B6342B" w:rsidP="00B6342B">
      <w:pPr>
        <w:jc w:val="center"/>
        <w:rPr>
          <w:rFonts w:ascii="Verdana" w:hAnsi="Verdana"/>
          <w:b/>
          <w:sz w:val="20"/>
          <w:szCs w:val="20"/>
          <w:lang w:val="en-GB"/>
        </w:rPr>
      </w:pPr>
      <w:r w:rsidRPr="00A26287">
        <w:rPr>
          <w:rFonts w:ascii="Verdana" w:hAnsi="Verdana"/>
          <w:b/>
          <w:sz w:val="20"/>
          <w:szCs w:val="20"/>
          <w:lang w:val="en-GB"/>
        </w:rPr>
        <w:t>Sign-off Form</w:t>
      </w:r>
    </w:p>
    <w:p w:rsidR="00B6342B" w:rsidRPr="00A26287" w:rsidRDefault="00B6342B" w:rsidP="00B6342B">
      <w:pPr>
        <w:rPr>
          <w:rFonts w:ascii="Verdana" w:hAnsi="Verdana"/>
          <w:sz w:val="20"/>
          <w:szCs w:val="20"/>
          <w:lang w:val="en-GB"/>
        </w:rPr>
      </w:pPr>
    </w:p>
    <w:p w:rsidR="00B6342B" w:rsidRPr="00A26287" w:rsidRDefault="00B6342B" w:rsidP="00B6342B">
      <w:pPr>
        <w:ind w:left="993" w:hanging="993"/>
        <w:rPr>
          <w:rFonts w:ascii="Verdana" w:hAnsi="Verdana"/>
          <w:b/>
          <w:sz w:val="20"/>
          <w:szCs w:val="20"/>
          <w:lang w:val="en-GB"/>
        </w:rPr>
      </w:pPr>
      <w:r w:rsidRPr="00A26287">
        <w:rPr>
          <w:rFonts w:ascii="Verdana" w:hAnsi="Verdana"/>
          <w:sz w:val="20"/>
          <w:szCs w:val="20"/>
          <w:lang w:val="en-GB"/>
        </w:rPr>
        <w:t>Subject:</w:t>
      </w:r>
      <w:r w:rsidRPr="00A26287">
        <w:rPr>
          <w:rFonts w:ascii="Verdana" w:hAnsi="Verdana"/>
          <w:b/>
          <w:sz w:val="20"/>
          <w:szCs w:val="20"/>
          <w:lang w:val="en-GB"/>
        </w:rPr>
        <w:t xml:space="preserve">  Data for the calculation of </w:t>
      </w:r>
      <w:r w:rsidR="00C235D7" w:rsidRPr="00A26287">
        <w:rPr>
          <w:rFonts w:ascii="Verdana" w:hAnsi="Verdana"/>
          <w:b/>
          <w:sz w:val="20"/>
          <w:szCs w:val="20"/>
          <w:lang w:val="en-GB"/>
        </w:rPr>
        <w:t>2021</w:t>
      </w:r>
      <w:r w:rsidRPr="00A26287">
        <w:rPr>
          <w:rFonts w:ascii="Verdana" w:hAnsi="Verdana"/>
          <w:b/>
          <w:sz w:val="20"/>
          <w:szCs w:val="20"/>
          <w:lang w:val="en-GB"/>
        </w:rPr>
        <w:t xml:space="preserve"> </w:t>
      </w:r>
      <w:r w:rsidRPr="00A26287">
        <w:rPr>
          <w:rFonts w:ascii="Verdana" w:hAnsi="Verdana"/>
          <w:b/>
          <w:sz w:val="20"/>
          <w:lang w:val="en-GB"/>
        </w:rPr>
        <w:t>ex-ante</w:t>
      </w:r>
      <w:r w:rsidRPr="00A26287">
        <w:rPr>
          <w:rFonts w:ascii="Verdana" w:hAnsi="Verdana"/>
          <w:b/>
          <w:sz w:val="20"/>
          <w:szCs w:val="20"/>
          <w:lang w:val="en-GB"/>
        </w:rPr>
        <w:t xml:space="preserve"> contributions to the Single Resolution Fund</w:t>
      </w:r>
    </w:p>
    <w:p w:rsidR="00B6342B" w:rsidRPr="00A26287" w:rsidRDefault="00B6342B" w:rsidP="00B6342B">
      <w:pPr>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89"/>
        <w:gridCol w:w="5171"/>
      </w:tblGrid>
      <w:tr w:rsidR="00B6342B" w:rsidRPr="00A26287" w:rsidTr="00D807FE">
        <w:trPr>
          <w:trHeight w:val="558"/>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Name of the institution:</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[Name]</w:t>
            </w:r>
          </w:p>
        </w:tc>
      </w:tr>
      <w:tr w:rsidR="00B6342B" w:rsidRPr="00A26287" w:rsidTr="00D807FE">
        <w:trPr>
          <w:trHeight w:val="566"/>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 xml:space="preserve">Monetary Financial Identifier (MFI): </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[YYXXXXXXXX]</w:t>
            </w:r>
          </w:p>
        </w:tc>
      </w:tr>
      <w:tr w:rsidR="00B6342B" w:rsidRPr="00A26287" w:rsidTr="00D807FE">
        <w:trPr>
          <w:trHeight w:val="702"/>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For Report:</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 xml:space="preserve">SRF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Ex-ante Contributions Reporting Form (“</w:t>
            </w:r>
            <w:r w:rsidR="00C235D7" w:rsidRPr="00A26287">
              <w:rPr>
                <w:rFonts w:ascii="Verdana" w:eastAsia="Calibri" w:hAnsi="Verdana"/>
                <w:sz w:val="20"/>
                <w:szCs w:val="20"/>
                <w:lang w:val="en-GB"/>
              </w:rPr>
              <w:t>2021</w:t>
            </w:r>
            <w:r w:rsidRPr="00A26287">
              <w:rPr>
                <w:rFonts w:ascii="Verdana" w:eastAsia="Calibri" w:hAnsi="Verdana"/>
                <w:sz w:val="20"/>
                <w:szCs w:val="20"/>
                <w:lang w:val="en-GB"/>
              </w:rPr>
              <w:t xml:space="preserve"> Reporting Form”)</w:t>
            </w:r>
          </w:p>
        </w:tc>
      </w:tr>
      <w:tr w:rsidR="00B6342B" w:rsidRPr="00A26287" w:rsidTr="00D807FE">
        <w:trPr>
          <w:trHeight w:val="556"/>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Submission date of the Report:</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[date i.e. dd/mm/yyyy]</w:t>
            </w:r>
          </w:p>
        </w:tc>
      </w:tr>
      <w:tr w:rsidR="00B6342B" w:rsidRPr="00A26287" w:rsidTr="00D807FE">
        <w:trPr>
          <w:trHeight w:val="835"/>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Name of the representative of the management body</w:t>
            </w:r>
            <w:r w:rsidRPr="00A26287">
              <w:rPr>
                <w:rFonts w:ascii="Verdana" w:eastAsia="Calibri" w:hAnsi="Verdana"/>
                <w:sz w:val="20"/>
                <w:szCs w:val="20"/>
                <w:vertAlign w:val="superscript"/>
                <w:lang w:val="en-GB"/>
              </w:rPr>
              <w:footnoteReference w:id="5"/>
            </w:r>
            <w:r w:rsidRPr="00A26287">
              <w:rPr>
                <w:rFonts w:ascii="Verdana" w:eastAsia="Calibri" w:hAnsi="Verdana"/>
                <w:sz w:val="20"/>
                <w:szCs w:val="20"/>
                <w:lang w:val="en-GB"/>
              </w:rPr>
              <w:t xml:space="preserve"> who has validated the report</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[name]</w:t>
            </w:r>
          </w:p>
        </w:tc>
      </w:tr>
      <w:tr w:rsidR="00B6342B" w:rsidRPr="00A26287" w:rsidTr="00D807FE">
        <w:trPr>
          <w:trHeight w:val="548"/>
        </w:trPr>
        <w:tc>
          <w:tcPr>
            <w:tcW w:w="3936" w:type="dxa"/>
            <w:tcBorders>
              <w:top w:val="single" w:sz="4" w:space="0" w:color="auto"/>
              <w:left w:val="single" w:sz="4" w:space="0" w:color="auto"/>
              <w:bottom w:val="single" w:sz="4" w:space="0" w:color="auto"/>
              <w:right w:val="nil"/>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Position within the institution</w:t>
            </w:r>
          </w:p>
        </w:tc>
        <w:tc>
          <w:tcPr>
            <w:tcW w:w="5244" w:type="dxa"/>
            <w:tcBorders>
              <w:top w:val="single" w:sz="4" w:space="0" w:color="auto"/>
              <w:left w:val="nil"/>
              <w:bottom w:val="single" w:sz="4" w:space="0" w:color="auto"/>
              <w:right w:val="single" w:sz="4" w:space="0" w:color="auto"/>
            </w:tcBorders>
            <w:vAlign w:val="center"/>
            <w:hideMark/>
          </w:tcPr>
          <w:p w:rsidR="00B6342B" w:rsidRPr="00A26287" w:rsidRDefault="00B6342B" w:rsidP="00D807FE">
            <w:pPr>
              <w:rPr>
                <w:rFonts w:ascii="Verdana" w:eastAsia="Calibri" w:hAnsi="Verdana"/>
                <w:sz w:val="20"/>
                <w:szCs w:val="20"/>
                <w:lang w:val="en-GB"/>
              </w:rPr>
            </w:pPr>
            <w:r w:rsidRPr="00A26287">
              <w:rPr>
                <w:rFonts w:ascii="Verdana" w:eastAsia="Calibri" w:hAnsi="Verdana"/>
                <w:sz w:val="20"/>
                <w:szCs w:val="20"/>
                <w:lang w:val="en-GB"/>
              </w:rPr>
              <w:t>[position]</w:t>
            </w:r>
          </w:p>
        </w:tc>
      </w:tr>
    </w:tbl>
    <w:p w:rsidR="00B6342B" w:rsidRPr="00A26287" w:rsidRDefault="00B6342B" w:rsidP="00B6342B">
      <w:pPr>
        <w:rPr>
          <w:rFonts w:ascii="Verdana" w:hAnsi="Verdana"/>
          <w:sz w:val="20"/>
          <w:szCs w:val="20"/>
          <w:lang w:val="en-GB"/>
        </w:rPr>
      </w:pPr>
    </w:p>
    <w:p w:rsidR="00B6342B" w:rsidRPr="00A26287" w:rsidRDefault="00B6342B" w:rsidP="00B6342B">
      <w:pPr>
        <w:jc w:val="both"/>
        <w:rPr>
          <w:rFonts w:ascii="Verdana" w:hAnsi="Verdana"/>
          <w:b/>
          <w:sz w:val="20"/>
          <w:szCs w:val="20"/>
          <w:lang w:val="en-GB"/>
        </w:rPr>
      </w:pPr>
      <w:r w:rsidRPr="00A26287">
        <w:rPr>
          <w:rFonts w:ascii="Verdana" w:hAnsi="Verdana"/>
          <w:b/>
          <w:sz w:val="20"/>
          <w:szCs w:val="20"/>
          <w:lang w:val="en-GB"/>
        </w:rPr>
        <w:t xml:space="preserve">I have reviewed and approved the final version of the abovementioned </w:t>
      </w:r>
      <w:r w:rsidR="00C235D7" w:rsidRPr="00A26287">
        <w:rPr>
          <w:rFonts w:ascii="Verdana" w:hAnsi="Verdana"/>
          <w:b/>
          <w:sz w:val="20"/>
          <w:szCs w:val="20"/>
          <w:lang w:val="en-GB"/>
        </w:rPr>
        <w:t>2021</w:t>
      </w:r>
      <w:r w:rsidRPr="00A26287">
        <w:rPr>
          <w:rFonts w:ascii="Verdana" w:hAnsi="Verdana"/>
          <w:b/>
          <w:sz w:val="20"/>
          <w:szCs w:val="20"/>
          <w:lang w:val="en-GB"/>
        </w:rPr>
        <w:t xml:space="preserve"> Reporting Form and certify, that the information in the </w:t>
      </w:r>
      <w:r w:rsidR="00C235D7" w:rsidRPr="00A26287">
        <w:rPr>
          <w:rFonts w:ascii="Verdana" w:hAnsi="Verdana"/>
          <w:b/>
          <w:sz w:val="20"/>
          <w:szCs w:val="20"/>
          <w:lang w:val="en-GB"/>
        </w:rPr>
        <w:t>2021</w:t>
      </w:r>
      <w:r w:rsidRPr="00A26287">
        <w:rPr>
          <w:rFonts w:ascii="Verdana" w:hAnsi="Verdana"/>
          <w:b/>
          <w:sz w:val="20"/>
          <w:szCs w:val="20"/>
          <w:lang w:val="en-GB"/>
        </w:rPr>
        <w:t xml:space="preserve"> Reporting Form has been submitted in accordance with the instructions set out therein and other technical guidance provided by the Single Resolution Board or National Resolution Authority, in particular:</w:t>
      </w:r>
    </w:p>
    <w:p w:rsidR="00B6342B" w:rsidRPr="00A26287" w:rsidRDefault="00B6342B" w:rsidP="00B6342B">
      <w:pPr>
        <w:jc w:val="both"/>
        <w:rPr>
          <w:rFonts w:ascii="Verdana" w:hAnsi="Verdana"/>
          <w:sz w:val="20"/>
          <w:szCs w:val="20"/>
          <w:lang w:val="en-GB"/>
        </w:rPr>
      </w:pPr>
    </w:p>
    <w:p w:rsidR="00B6342B" w:rsidRPr="00A26287" w:rsidRDefault="00B6342B" w:rsidP="00B6342B">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szCs w:val="20"/>
          <w:u w:val="single"/>
          <w:lang w:val="en-GB"/>
        </w:rPr>
        <w:t>general activities</w:t>
      </w:r>
      <w:r w:rsidRPr="00A26287">
        <w:rPr>
          <w:rFonts w:ascii="Verdana" w:hAnsi="Verdana"/>
          <w:sz w:val="20"/>
          <w:szCs w:val="20"/>
          <w:lang w:val="en-GB"/>
        </w:rPr>
        <w:t>:</w:t>
      </w:r>
    </w:p>
    <w:p w:rsidR="00B6342B" w:rsidRPr="00A26287" w:rsidRDefault="00B6342B" w:rsidP="00B6342B">
      <w:pPr>
        <w:jc w:val="both"/>
        <w:rPr>
          <w:rFonts w:ascii="Verdana" w:hAnsi="Verdana"/>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B6342B" w:rsidRPr="00A26287" w:rsidTr="003C2C2B">
        <w:tc>
          <w:tcPr>
            <w:tcW w:w="7763" w:type="dxa"/>
            <w:shd w:val="clear" w:color="auto" w:fill="auto"/>
          </w:tcPr>
          <w:p w:rsidR="00B6342B" w:rsidRPr="00A26287" w:rsidRDefault="00B6342B" w:rsidP="00D807FE">
            <w:pPr>
              <w:jc w:val="both"/>
              <w:rPr>
                <w:rFonts w:ascii="Verdana" w:hAnsi="Verdana"/>
                <w:sz w:val="20"/>
                <w:szCs w:val="20"/>
                <w:lang w:val="en-GB"/>
              </w:rPr>
            </w:pPr>
            <w:r w:rsidRPr="00A26287">
              <w:rPr>
                <w:rFonts w:ascii="Verdana" w:hAnsi="Verdana"/>
                <w:sz w:val="20"/>
                <w:szCs w:val="20"/>
                <w:lang w:val="en-GB"/>
              </w:rPr>
              <w:t xml:space="preserve">I certify that necessary procedures and controls were put in place, in order to ensure that the extracted and reported data is accordance with the instructions 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and other technical guidance provided by the Single Resolution Board or National Resolution Authority</w:t>
            </w:r>
            <w:r w:rsidRPr="00A26287">
              <w:rPr>
                <w:rFonts w:ascii="Verdana" w:eastAsia="Calibri" w:hAnsi="Verdana"/>
                <w:b/>
                <w:sz w:val="20"/>
                <w:szCs w:val="20"/>
                <w:lang w:val="en-GB"/>
              </w:rPr>
              <w:t>.</w:t>
            </w:r>
          </w:p>
        </w:tc>
        <w:tc>
          <w:tcPr>
            <w:tcW w:w="1276" w:type="dxa"/>
            <w:shd w:val="clear" w:color="auto" w:fill="auto"/>
          </w:tcPr>
          <w:p w:rsidR="00B6342B" w:rsidRPr="00A26287" w:rsidRDefault="00B6342B" w:rsidP="00D807FE">
            <w:pPr>
              <w:jc w:val="center"/>
              <w:rPr>
                <w:rFonts w:ascii="Verdana" w:hAnsi="Verdana"/>
                <w:sz w:val="20"/>
                <w:szCs w:val="20"/>
                <w:lang w:val="en-GB"/>
              </w:rPr>
            </w:pPr>
          </w:p>
          <w:p w:rsidR="00B634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00B6342B" w:rsidRPr="00A26287">
              <w:rPr>
                <w:rFonts w:ascii="Verdana" w:hAnsi="Verdana"/>
                <w:sz w:val="18"/>
                <w:szCs w:val="18"/>
                <w:lang w:val="en-GB"/>
              </w:rPr>
              <w:t>Yes</w:t>
            </w:r>
          </w:p>
          <w:p w:rsidR="00B634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00B6342B" w:rsidRPr="00A26287">
              <w:rPr>
                <w:rFonts w:ascii="Verdana" w:hAnsi="Verdana"/>
                <w:sz w:val="18"/>
                <w:szCs w:val="18"/>
                <w:lang w:val="en-GB"/>
              </w:rPr>
              <w:t>No</w:t>
            </w:r>
          </w:p>
          <w:p w:rsidR="00B6342B" w:rsidRPr="00A26287" w:rsidRDefault="003C2C2B" w:rsidP="003C2C2B">
            <w:pPr>
              <w:rPr>
                <w:rFonts w:ascii="Verdana" w:hAnsi="Verdana"/>
                <w:sz w:val="20"/>
                <w:szCs w:val="20"/>
                <w:lang w:val="en-GB"/>
              </w:rPr>
            </w:pPr>
            <w:r w:rsidRPr="00A26287">
              <w:rPr>
                <w:rFonts w:ascii="Times New Roman" w:eastAsia="Calibri" w:hAnsi="Times New Roman"/>
                <w:lang w:val="en-GB"/>
              </w:rPr>
              <w:t xml:space="preserve">□  </w:t>
            </w:r>
            <w:r w:rsidR="00B6342B" w:rsidRPr="00A26287">
              <w:rPr>
                <w:rFonts w:ascii="Verdana" w:hAnsi="Verdana"/>
                <w:sz w:val="18"/>
                <w:szCs w:val="18"/>
                <w:lang w:val="en-GB"/>
              </w:rPr>
              <w:t>N/A</w:t>
            </w:r>
          </w:p>
        </w:tc>
      </w:tr>
    </w:tbl>
    <w:p w:rsidR="00B6342B" w:rsidRPr="00A26287" w:rsidRDefault="00B6342B" w:rsidP="00B6342B">
      <w:pPr>
        <w:jc w:val="both"/>
        <w:rPr>
          <w:rFonts w:ascii="Verdana" w:hAnsi="Verdana"/>
          <w:sz w:val="20"/>
          <w:szCs w:val="20"/>
          <w:lang w:val="en-GB"/>
        </w:rPr>
      </w:pPr>
    </w:p>
    <w:p w:rsidR="00B6342B" w:rsidRPr="00A26287" w:rsidRDefault="00B6342B" w:rsidP="00B6342B">
      <w:pPr>
        <w:jc w:val="both"/>
        <w:rPr>
          <w:rFonts w:ascii="Verdana" w:hAnsi="Verdana"/>
          <w:b/>
          <w:sz w:val="20"/>
          <w:szCs w:val="20"/>
          <w:lang w:val="en-GB"/>
        </w:rPr>
      </w:pPr>
    </w:p>
    <w:p w:rsidR="00B6342B" w:rsidRPr="00A26287" w:rsidRDefault="00B6342B" w:rsidP="00B6342B">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szCs w:val="20"/>
          <w:u w:val="single"/>
          <w:lang w:val="en-GB"/>
        </w:rPr>
        <w:t>covered deposits</w:t>
      </w:r>
      <w:r w:rsidRPr="00A26287">
        <w:rPr>
          <w:rFonts w:ascii="Verdana" w:hAnsi="Verdana"/>
          <w:sz w:val="20"/>
          <w:szCs w:val="20"/>
          <w:lang w:val="en-GB"/>
        </w:rPr>
        <w:t xml:space="preserve"> (data field “2A3” 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w:t>
      </w:r>
    </w:p>
    <w:p w:rsidR="00B6342B" w:rsidRPr="00A26287" w:rsidRDefault="00B6342B" w:rsidP="00B6342B">
      <w:pPr>
        <w:jc w:val="both"/>
        <w:rPr>
          <w:rFonts w:ascii="Verdana" w:hAnsi="Verdana"/>
          <w:b/>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B6342B" w:rsidRPr="00A26287" w:rsidTr="00D807FE">
        <w:tc>
          <w:tcPr>
            <w:tcW w:w="7763" w:type="dxa"/>
            <w:shd w:val="clear" w:color="auto" w:fill="auto"/>
          </w:tcPr>
          <w:p w:rsidR="00B6342B" w:rsidRPr="00A26287" w:rsidRDefault="00B6342B" w:rsidP="00D807FE">
            <w:pPr>
              <w:ind w:left="708"/>
              <w:jc w:val="both"/>
              <w:rPr>
                <w:rFonts w:ascii="Verdana" w:hAnsi="Verdana"/>
                <w:sz w:val="20"/>
                <w:szCs w:val="20"/>
                <w:lang w:val="en-GB"/>
              </w:rPr>
            </w:pPr>
          </w:p>
          <w:p w:rsidR="00B6342B" w:rsidRPr="00A26287" w:rsidRDefault="00B6342B" w:rsidP="00D807FE">
            <w:pPr>
              <w:jc w:val="both"/>
              <w:rPr>
                <w:rFonts w:ascii="Verdana" w:hAnsi="Verdana"/>
                <w:sz w:val="20"/>
                <w:szCs w:val="20"/>
                <w:lang w:val="en-GB"/>
              </w:rPr>
            </w:pPr>
            <w:r w:rsidRPr="00A26287">
              <w:rPr>
                <w:rFonts w:ascii="Verdana" w:hAnsi="Verdana"/>
                <w:sz w:val="20"/>
                <w:szCs w:val="20"/>
                <w:lang w:val="en-GB"/>
              </w:rPr>
              <w:lastRenderedPageBreak/>
              <w:t xml:space="preserve">I certify that the legal framework used in identifying deposits for field “2A3” in </w:t>
            </w:r>
            <w:r w:rsidR="00C235D7" w:rsidRPr="00A26287">
              <w:rPr>
                <w:rFonts w:ascii="Verdana" w:hAnsi="Verdana"/>
                <w:sz w:val="20"/>
                <w:szCs w:val="20"/>
                <w:lang w:val="en-GB"/>
              </w:rPr>
              <w:t>2021</w:t>
            </w:r>
            <w:r w:rsidRPr="00A26287">
              <w:rPr>
                <w:rFonts w:ascii="Verdana" w:hAnsi="Verdana"/>
                <w:sz w:val="20"/>
                <w:szCs w:val="20"/>
                <w:lang w:val="en-GB"/>
              </w:rPr>
              <w:t xml:space="preserve"> Reporting Form is in line with the definition of ‘covered deposits’ as defined in Article 3(10) of the Commission Delegated Regulation (EU) 2015/63 (i.e. “‘covered deposits’ means the deposits referred to in Article 6(1) of Directive 2014/49/EU, excluding temporary high balances as defined in Article 6(2) of that Directive.”).</w:t>
            </w:r>
          </w:p>
          <w:p w:rsidR="00B6342B" w:rsidRPr="00A26287" w:rsidRDefault="00B6342B" w:rsidP="00D807FE">
            <w:pPr>
              <w:spacing w:after="160" w:line="256" w:lineRule="auto"/>
              <w:contextualSpacing/>
              <w:jc w:val="both"/>
              <w:rPr>
                <w:rFonts w:ascii="Verdana" w:eastAsia="Calibri" w:hAnsi="Verdana"/>
                <w:b/>
                <w:sz w:val="20"/>
                <w:szCs w:val="20"/>
                <w:lang w:val="en-GB"/>
              </w:rPr>
            </w:pPr>
          </w:p>
        </w:tc>
        <w:tc>
          <w:tcPr>
            <w:tcW w:w="1276" w:type="dxa"/>
            <w:shd w:val="clear" w:color="auto" w:fill="auto"/>
          </w:tcPr>
          <w:p w:rsidR="00B6342B" w:rsidRPr="00A26287" w:rsidRDefault="00B6342B" w:rsidP="00D807FE">
            <w:pPr>
              <w:jc w:val="center"/>
              <w:rPr>
                <w:rFonts w:ascii="Times New Roman" w:eastAsia="Calibri" w:hAnsi="Times New Roman"/>
                <w:sz w:val="16"/>
                <w:szCs w:val="16"/>
                <w:lang w:val="en-GB"/>
              </w:rPr>
            </w:pPr>
          </w:p>
          <w:p w:rsidR="00B6342B" w:rsidRPr="00A26287" w:rsidRDefault="00B6342B" w:rsidP="00D807FE">
            <w:pPr>
              <w:jc w:val="center"/>
              <w:rPr>
                <w:rFonts w:ascii="Times New Roman" w:eastAsia="Calibri" w:hAnsi="Times New Roman"/>
                <w:sz w:val="16"/>
                <w:szCs w:val="16"/>
                <w:lang w:val="en-GB"/>
              </w:rPr>
            </w:pPr>
          </w:p>
          <w:p w:rsidR="00B6342B" w:rsidRPr="00A26287" w:rsidRDefault="00B6342B" w:rsidP="00D807FE">
            <w:pPr>
              <w:ind w:left="348"/>
              <w:rPr>
                <w:rFonts w:ascii="Times New Roman" w:hAnsi="Times New Roman"/>
                <w:sz w:val="18"/>
                <w:szCs w:val="18"/>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B6342B" w:rsidRPr="00A26287" w:rsidRDefault="003C2C2B" w:rsidP="003C2C2B">
            <w:pPr>
              <w:rPr>
                <w:rFonts w:ascii="Times New Roman" w:eastAsia="Calibri" w:hAnsi="Times New Roman"/>
                <w:sz w:val="20"/>
                <w:szCs w:val="20"/>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20"/>
                <w:szCs w:val="20"/>
                <w:lang w:val="en-GB"/>
              </w:rPr>
              <w:t xml:space="preserve"> </w:t>
            </w:r>
          </w:p>
        </w:tc>
      </w:tr>
    </w:tbl>
    <w:p w:rsidR="00B6342B" w:rsidRPr="00A26287" w:rsidRDefault="00B6342B" w:rsidP="00B6342B">
      <w:pPr>
        <w:jc w:val="both"/>
        <w:rPr>
          <w:rFonts w:ascii="Verdana" w:hAnsi="Verdana"/>
          <w:b/>
          <w:sz w:val="20"/>
          <w:lang w:val="en-GB"/>
        </w:rPr>
      </w:pPr>
    </w:p>
    <w:p w:rsidR="00B6342B" w:rsidRPr="00A26287" w:rsidRDefault="00B6342B" w:rsidP="00B777B7">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u w:val="single"/>
          <w:lang w:val="en-GB"/>
        </w:rPr>
        <w:t>derivative adjustments</w:t>
      </w:r>
      <w:r w:rsidRPr="00A26287">
        <w:rPr>
          <w:rFonts w:ascii="Verdana" w:hAnsi="Verdana"/>
          <w:sz w:val="20"/>
          <w:szCs w:val="20"/>
          <w:lang w:val="en-GB"/>
        </w:rPr>
        <w:t>:</w:t>
      </w:r>
    </w:p>
    <w:p w:rsidR="00B6342B" w:rsidRPr="00A26287" w:rsidRDefault="00B6342B" w:rsidP="00B777B7">
      <w:pPr>
        <w:jc w:val="both"/>
        <w:rPr>
          <w:rFonts w:ascii="Verdana" w:hAnsi="Verdana"/>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B6342B" w:rsidRPr="00A26287" w:rsidTr="00D807FE">
        <w:tc>
          <w:tcPr>
            <w:tcW w:w="7763" w:type="dxa"/>
            <w:shd w:val="clear" w:color="auto" w:fill="auto"/>
          </w:tcPr>
          <w:p w:rsidR="00B6342B" w:rsidRPr="00A26287" w:rsidRDefault="00B6342B" w:rsidP="00D807FE">
            <w:pPr>
              <w:jc w:val="both"/>
              <w:rPr>
                <w:rFonts w:ascii="Verdana" w:hAnsi="Verdana"/>
                <w:sz w:val="20"/>
                <w:szCs w:val="20"/>
                <w:lang w:val="en-GB"/>
              </w:rPr>
            </w:pPr>
          </w:p>
          <w:p w:rsidR="00B6342B" w:rsidRPr="00A26287" w:rsidRDefault="00B6342B" w:rsidP="00D807FE">
            <w:pPr>
              <w:jc w:val="both"/>
              <w:rPr>
                <w:rFonts w:ascii="Verdana" w:hAnsi="Verdana"/>
                <w:sz w:val="20"/>
                <w:szCs w:val="20"/>
                <w:lang w:val="en-GB"/>
              </w:rPr>
            </w:pPr>
            <w:r w:rsidRPr="00A26287">
              <w:rPr>
                <w:rFonts w:ascii="Verdana" w:hAnsi="Verdana"/>
                <w:sz w:val="20"/>
                <w:szCs w:val="20"/>
                <w:lang w:val="en-GB"/>
              </w:rPr>
              <w:t xml:space="preserve">I certify that the legal framework used in identifying derivatives for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in general, and particularly for fields “2C1”, “2C2” and “2C3” is in line with the definition of ‘derivatives’ as defined in Article 3(22) of the Commission Delegated Regulation (EU) 2015/63 (i.e. “’derivatives’ mean derivatives according to Annex II of Regulation (EU) 575/2013” therefore excluding credit derivatives);</w:t>
            </w:r>
          </w:p>
          <w:p w:rsidR="00B6342B" w:rsidRPr="00A26287" w:rsidRDefault="00B6342B" w:rsidP="00D807FE">
            <w:pPr>
              <w:ind w:left="708"/>
              <w:jc w:val="both"/>
              <w:rPr>
                <w:rFonts w:ascii="Verdana" w:hAnsi="Verdana"/>
                <w:sz w:val="20"/>
                <w:szCs w:val="20"/>
                <w:lang w:val="en-GB"/>
              </w:rPr>
            </w:pPr>
          </w:p>
          <w:p w:rsidR="00B6342B" w:rsidRPr="00A26287" w:rsidRDefault="00B6342B" w:rsidP="00D807FE">
            <w:pPr>
              <w:jc w:val="both"/>
              <w:rPr>
                <w:rFonts w:ascii="Verdana" w:eastAsia="Calibri" w:hAnsi="Verdana"/>
                <w:b/>
                <w:sz w:val="20"/>
                <w:szCs w:val="20"/>
                <w:lang w:val="en-GB"/>
              </w:rPr>
            </w:pPr>
          </w:p>
        </w:tc>
        <w:tc>
          <w:tcPr>
            <w:tcW w:w="1276" w:type="dxa"/>
            <w:shd w:val="clear" w:color="auto" w:fill="auto"/>
          </w:tcPr>
          <w:p w:rsidR="00B6342B" w:rsidRPr="00A26287" w:rsidRDefault="00B6342B" w:rsidP="00D807FE">
            <w:pPr>
              <w:jc w:val="center"/>
              <w:rPr>
                <w:rFonts w:ascii="Times New Roman" w:eastAsia="Calibri" w:hAnsi="Times New Roman"/>
                <w:sz w:val="16"/>
                <w:szCs w:val="16"/>
                <w:lang w:val="en-GB"/>
              </w:rPr>
            </w:pPr>
          </w:p>
          <w:p w:rsidR="00B6342B" w:rsidRPr="00A26287" w:rsidRDefault="00B6342B" w:rsidP="00D807FE">
            <w:pPr>
              <w:jc w:val="center"/>
              <w:rPr>
                <w:rFonts w:ascii="Times New Roman" w:eastAsia="Calibri" w:hAnsi="Times New Roman"/>
                <w:sz w:val="16"/>
                <w:szCs w:val="16"/>
                <w:lang w:val="en-GB"/>
              </w:rPr>
            </w:pPr>
          </w:p>
          <w:p w:rsidR="00B6342B" w:rsidRPr="00A26287" w:rsidRDefault="00B6342B" w:rsidP="00D807FE">
            <w:pPr>
              <w:jc w:val="center"/>
              <w:rPr>
                <w:rFonts w:ascii="Times New Roman" w:eastAsia="Calibri" w:hAnsi="Times New Roman"/>
                <w:sz w:val="16"/>
                <w:szCs w:val="16"/>
                <w:lang w:val="en-GB"/>
              </w:rPr>
            </w:pPr>
          </w:p>
          <w:p w:rsidR="00B6342B" w:rsidRPr="00A26287" w:rsidRDefault="00B6342B" w:rsidP="00D807FE">
            <w:pPr>
              <w:jc w:val="center"/>
              <w:rPr>
                <w:rFonts w:ascii="Times New Roman" w:eastAsia="Calibri" w:hAnsi="Times New Roman"/>
                <w:sz w:val="16"/>
                <w:szCs w:val="16"/>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B6342B" w:rsidRPr="00A26287" w:rsidRDefault="003C2C2B" w:rsidP="003C2C2B">
            <w:pPr>
              <w:rPr>
                <w:rFonts w:ascii="Times New Roman" w:eastAsia="Calibri" w:hAnsi="Times New Roman"/>
                <w:sz w:val="20"/>
                <w:szCs w:val="20"/>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20"/>
                <w:szCs w:val="20"/>
                <w:lang w:val="en-GB"/>
              </w:rPr>
              <w:t xml:space="preserve"> </w:t>
            </w:r>
          </w:p>
        </w:tc>
      </w:tr>
      <w:tr w:rsidR="00B6342B" w:rsidRPr="00A26287" w:rsidTr="00D807FE">
        <w:tc>
          <w:tcPr>
            <w:tcW w:w="7763" w:type="dxa"/>
            <w:shd w:val="clear" w:color="auto" w:fill="auto"/>
          </w:tcPr>
          <w:p w:rsidR="00B6342B" w:rsidRPr="00A26287" w:rsidRDefault="00B6342B" w:rsidP="00D807FE">
            <w:pPr>
              <w:jc w:val="both"/>
              <w:rPr>
                <w:rFonts w:ascii="Verdana" w:hAnsi="Verdana"/>
                <w:sz w:val="20"/>
                <w:szCs w:val="20"/>
                <w:lang w:val="en-GB"/>
              </w:rPr>
            </w:pPr>
            <w:r w:rsidRPr="00A26287">
              <w:rPr>
                <w:rFonts w:ascii="Verdana" w:hAnsi="Verdana"/>
                <w:sz w:val="20"/>
                <w:szCs w:val="20"/>
                <w:lang w:val="en-GB"/>
              </w:rPr>
              <w:t xml:space="preserve">I certify that when identifying the netting agreements in order to report field “2C1” in </w:t>
            </w:r>
            <w:r w:rsidR="00C235D7" w:rsidRPr="00A26287">
              <w:rPr>
                <w:rFonts w:ascii="Verdana" w:hAnsi="Verdana"/>
                <w:sz w:val="20"/>
                <w:szCs w:val="20"/>
                <w:lang w:val="en-GB"/>
              </w:rPr>
              <w:t>2021</w:t>
            </w:r>
            <w:r w:rsidRPr="00A26287">
              <w:rPr>
                <w:rFonts w:ascii="Verdana" w:hAnsi="Verdana"/>
                <w:sz w:val="20"/>
                <w:szCs w:val="20"/>
                <w:lang w:val="en-GB"/>
              </w:rPr>
              <w:t xml:space="preserve"> Reporting form, only those agreement that have been recognised by competent authorities in accordance with Article 295 CRR (Regulation (EU) No 575/2013) at the reference dates were considered;</w:t>
            </w:r>
          </w:p>
          <w:p w:rsidR="00B6342B" w:rsidRPr="00A26287" w:rsidRDefault="00B6342B" w:rsidP="00D807FE">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B634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B6342B" w:rsidRPr="00A26287" w:rsidTr="00D807FE">
        <w:tc>
          <w:tcPr>
            <w:tcW w:w="7763" w:type="dxa"/>
            <w:shd w:val="clear" w:color="auto" w:fill="auto"/>
          </w:tcPr>
          <w:p w:rsidR="00B6342B" w:rsidRPr="00A26287" w:rsidRDefault="00B6342B" w:rsidP="00D807FE">
            <w:pPr>
              <w:jc w:val="both"/>
              <w:rPr>
                <w:rFonts w:ascii="Verdana" w:hAnsi="Verdana"/>
                <w:sz w:val="20"/>
                <w:szCs w:val="20"/>
                <w:lang w:val="en-GB"/>
              </w:rPr>
            </w:pPr>
            <w:r w:rsidRPr="00A26287">
              <w:rPr>
                <w:rFonts w:ascii="Verdana" w:hAnsi="Verdana"/>
                <w:sz w:val="20"/>
                <w:szCs w:val="20"/>
                <w:lang w:val="en-GB"/>
              </w:rPr>
              <w:t xml:space="preserve">I certify that all liabilities arising from derivative contracts (excluding credit derivatives) in field “2C1” of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were valued in accordance with the leverage ratio methodology in accordance with Article 429 of CRR (Regulation (EU) No 575/2013) at the reference dates.</w:t>
            </w:r>
          </w:p>
          <w:p w:rsidR="00B6342B" w:rsidRPr="00A26287" w:rsidRDefault="00B6342B" w:rsidP="00D807FE">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B634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bl>
    <w:p w:rsidR="00B6342B" w:rsidRPr="00A26287" w:rsidRDefault="00B6342B" w:rsidP="00B6342B">
      <w:pPr>
        <w:spacing w:line="276" w:lineRule="auto"/>
        <w:contextualSpacing/>
        <w:rPr>
          <w:rFonts w:ascii="Verdana" w:eastAsia="Calibri" w:hAnsi="Verdana"/>
          <w:sz w:val="20"/>
          <w:szCs w:val="20"/>
          <w:lang w:val="en-GB"/>
        </w:rPr>
      </w:pPr>
    </w:p>
    <w:p w:rsidR="00B6342B" w:rsidRPr="00A26287" w:rsidRDefault="00B6342B" w:rsidP="00B777B7">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szCs w:val="20"/>
          <w:u w:val="single"/>
          <w:lang w:val="en-GB"/>
        </w:rPr>
        <w:t>promotional loans</w:t>
      </w:r>
      <w:r w:rsidRPr="00A26287">
        <w:rPr>
          <w:rFonts w:ascii="Verdana" w:hAnsi="Verdana"/>
          <w:sz w:val="20"/>
          <w:szCs w:val="20"/>
          <w:lang w:val="en-GB"/>
        </w:rPr>
        <w:t>:</w:t>
      </w:r>
    </w:p>
    <w:p w:rsidR="00B6342B" w:rsidRPr="00A26287" w:rsidRDefault="00B6342B" w:rsidP="00B777B7">
      <w:pPr>
        <w:jc w:val="both"/>
        <w:rPr>
          <w:rFonts w:ascii="Verdana" w:hAnsi="Verdana"/>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i/>
                <w:sz w:val="20"/>
                <w:szCs w:val="20"/>
                <w:u w:val="single"/>
                <w:lang w:val="en-GB"/>
              </w:rPr>
              <w:t xml:space="preserve">Only if an institution applied for the deduction of promotional loans in “Section D” of Deductions tab in the </w:t>
            </w:r>
            <w:r w:rsidR="00C235D7" w:rsidRPr="00A26287">
              <w:rPr>
                <w:rFonts w:ascii="Verdana" w:hAnsi="Verdana"/>
                <w:i/>
                <w:sz w:val="20"/>
                <w:szCs w:val="20"/>
                <w:u w:val="single"/>
                <w:lang w:val="en-GB"/>
              </w:rPr>
              <w:t>2021</w:t>
            </w:r>
            <w:r w:rsidRPr="00A26287">
              <w:rPr>
                <w:rFonts w:ascii="Verdana" w:hAnsi="Verdana"/>
                <w:i/>
                <w:sz w:val="20"/>
                <w:szCs w:val="20"/>
                <w:u w:val="single"/>
                <w:lang w:val="en-GB"/>
              </w:rPr>
              <w:t xml:space="preserve"> Reporting Form as ‘promotional bank’</w:t>
            </w:r>
            <w:r w:rsidRPr="00A26287">
              <w:rPr>
                <w:rFonts w:ascii="Verdana" w:hAnsi="Verdana"/>
                <w:sz w:val="20"/>
                <w:szCs w:val="20"/>
                <w:lang w:val="en-GB"/>
              </w:rPr>
              <w:t>: I certify that our undertaking or entity was set up by a Member State, central or regional government and that the before mentioned central or regional government has an obligation to protect the economic basis of our undertaking or entity and maintain its viability throughout its lifetime, or directly or indirectly guarantees at least 90% of the original funding of the undertaking or entity;</w:t>
            </w:r>
          </w:p>
          <w:p w:rsidR="003C2C2B" w:rsidRPr="00A26287" w:rsidRDefault="003C2C2B" w:rsidP="003C2C2B">
            <w:pPr>
              <w:ind w:left="708"/>
              <w:jc w:val="both"/>
              <w:rPr>
                <w:rFonts w:ascii="Verdana" w:eastAsia="Calibri" w:hAnsi="Verdana"/>
                <w:b/>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i/>
                <w:sz w:val="20"/>
                <w:szCs w:val="20"/>
                <w:u w:val="single"/>
                <w:lang w:val="en-GB"/>
              </w:rPr>
              <w:t xml:space="preserve">Only if an institution applied for the deduction of promotional loans in “Section D” of Deductions tab in the </w:t>
            </w:r>
            <w:r w:rsidR="00C235D7" w:rsidRPr="00A26287">
              <w:rPr>
                <w:rFonts w:ascii="Verdana" w:hAnsi="Verdana"/>
                <w:i/>
                <w:sz w:val="20"/>
                <w:szCs w:val="20"/>
                <w:u w:val="single"/>
                <w:lang w:val="en-GB"/>
              </w:rPr>
              <w:t>2021</w:t>
            </w:r>
            <w:r w:rsidRPr="00A26287">
              <w:rPr>
                <w:rFonts w:ascii="Verdana" w:hAnsi="Verdana"/>
                <w:i/>
                <w:sz w:val="20"/>
                <w:szCs w:val="20"/>
                <w:u w:val="single"/>
                <w:lang w:val="en-GB"/>
              </w:rPr>
              <w:t xml:space="preserve"> Reporting Form as ‘intermediary institution’</w:t>
            </w:r>
            <w:r w:rsidRPr="00A26287">
              <w:rPr>
                <w:rFonts w:ascii="Verdana" w:hAnsi="Verdana"/>
                <w:sz w:val="20"/>
                <w:szCs w:val="20"/>
                <w:lang w:val="en-GB"/>
              </w:rPr>
              <w:t xml:space="preserve">: I certify that that the promotional loans reported in field “3D5” of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are not provided as credit to the final customer</w:t>
            </w:r>
          </w:p>
        </w:tc>
        <w:tc>
          <w:tcPr>
            <w:tcW w:w="1276" w:type="dxa"/>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sz w:val="20"/>
                <w:szCs w:val="20"/>
                <w:lang w:val="en-GB"/>
              </w:rPr>
              <w:t xml:space="preserve">I certify that the following rule has been implemented when reporting field “3D5” of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in accordance with Article 5(1)(f) of the Commission Delegated Regulation (EU) 2015/63, 1 EUR of liability in field </w:t>
            </w:r>
            <w:r w:rsidRPr="00A26287">
              <w:rPr>
                <w:rFonts w:ascii="Verdana" w:hAnsi="Verdana"/>
                <w:sz w:val="20"/>
                <w:szCs w:val="20"/>
                <w:lang w:val="en-GB"/>
              </w:rPr>
              <w:lastRenderedPageBreak/>
              <w:t>“3D5” is matched with 1 EUR of promotional loans received (from promotional bank);</w:t>
            </w:r>
          </w:p>
          <w:p w:rsidR="003C2C2B" w:rsidRPr="00A26287" w:rsidRDefault="003C2C2B" w:rsidP="003C2C2B">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lastRenderedPageBreak/>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spacing w:after="240"/>
              <w:jc w:val="both"/>
              <w:rPr>
                <w:rFonts w:ascii="Verdana" w:hAnsi="Verdana"/>
                <w:sz w:val="20"/>
                <w:szCs w:val="20"/>
                <w:lang w:val="en-GB"/>
              </w:rPr>
            </w:pPr>
            <w:r w:rsidRPr="00A26287">
              <w:rPr>
                <w:rFonts w:ascii="Verdana" w:hAnsi="Verdana"/>
                <w:sz w:val="20"/>
                <w:szCs w:val="20"/>
                <w:lang w:val="en-GB"/>
              </w:rPr>
              <w:lastRenderedPageBreak/>
              <w:t xml:space="preserve">I certify that loans that match liabilities reported in field “3D5” of </w:t>
            </w:r>
            <w:r w:rsidR="00C235D7" w:rsidRPr="00A26287">
              <w:rPr>
                <w:rFonts w:ascii="Verdana" w:hAnsi="Verdana"/>
                <w:sz w:val="20"/>
                <w:szCs w:val="20"/>
                <w:lang w:val="en-GB"/>
              </w:rPr>
              <w:t>2021</w:t>
            </w:r>
            <w:r w:rsidRPr="00A26287">
              <w:rPr>
                <w:rFonts w:ascii="Verdana" w:hAnsi="Verdana"/>
                <w:sz w:val="20"/>
                <w:szCs w:val="20"/>
                <w:lang w:val="en-GB"/>
              </w:rPr>
              <w:t xml:space="preserve"> Reporting Form, fulfil the following conditions:</w:t>
            </w:r>
          </w:p>
          <w:p w:rsidR="003C2C2B" w:rsidRPr="00A26287" w:rsidRDefault="003C2C2B" w:rsidP="003C2C2B">
            <w:pPr>
              <w:numPr>
                <w:ilvl w:val="1"/>
                <w:numId w:val="28"/>
              </w:numPr>
              <w:ind w:left="1560" w:hanging="1156"/>
              <w:jc w:val="both"/>
              <w:rPr>
                <w:rFonts w:ascii="Verdana" w:hAnsi="Verdana"/>
                <w:sz w:val="20"/>
                <w:szCs w:val="20"/>
                <w:lang w:val="en-GB"/>
              </w:rPr>
            </w:pPr>
            <w:r w:rsidRPr="00A26287">
              <w:rPr>
                <w:rFonts w:ascii="Verdana" w:hAnsi="Verdana"/>
                <w:sz w:val="20"/>
                <w:szCs w:val="20"/>
                <w:lang w:val="en-GB"/>
              </w:rPr>
              <w:t>granted on a non-competitive basis;</w:t>
            </w:r>
          </w:p>
          <w:p w:rsidR="003C2C2B" w:rsidRPr="00A26287" w:rsidRDefault="003C2C2B" w:rsidP="003C2C2B">
            <w:pPr>
              <w:numPr>
                <w:ilvl w:val="1"/>
                <w:numId w:val="28"/>
              </w:numPr>
              <w:ind w:left="1560" w:hanging="1156"/>
              <w:jc w:val="both"/>
              <w:rPr>
                <w:rFonts w:ascii="Verdana" w:hAnsi="Verdana"/>
                <w:sz w:val="20"/>
                <w:szCs w:val="20"/>
                <w:lang w:val="en-GB"/>
              </w:rPr>
            </w:pPr>
            <w:r w:rsidRPr="00A26287">
              <w:rPr>
                <w:rFonts w:ascii="Verdana" w:hAnsi="Verdana"/>
                <w:sz w:val="20"/>
                <w:szCs w:val="20"/>
                <w:lang w:val="en-GB"/>
              </w:rPr>
              <w:t>granted on a not for profit basis; and</w:t>
            </w:r>
          </w:p>
          <w:p w:rsidR="003C2C2B" w:rsidRPr="00A26287" w:rsidRDefault="003C2C2B" w:rsidP="003C2C2B">
            <w:pPr>
              <w:numPr>
                <w:ilvl w:val="1"/>
                <w:numId w:val="28"/>
              </w:numPr>
              <w:ind w:left="709" w:hanging="283"/>
              <w:jc w:val="both"/>
              <w:rPr>
                <w:rFonts w:ascii="Verdana" w:hAnsi="Verdana"/>
                <w:sz w:val="20"/>
                <w:szCs w:val="20"/>
                <w:lang w:val="en-GB"/>
              </w:rPr>
            </w:pPr>
            <w:r w:rsidRPr="00A26287">
              <w:rPr>
                <w:rFonts w:ascii="Verdana" w:hAnsi="Verdana"/>
                <w:sz w:val="20"/>
                <w:szCs w:val="20"/>
                <w:lang w:val="en-GB"/>
              </w:rPr>
              <w:t>promote the public policy objectives of the central or regional government.</w:t>
            </w:r>
          </w:p>
          <w:p w:rsidR="003C2C2B" w:rsidRPr="00A26287" w:rsidRDefault="003C2C2B" w:rsidP="003C2C2B">
            <w:pPr>
              <w:ind w:hanging="1014"/>
              <w:jc w:val="both"/>
              <w:rPr>
                <w:rFonts w:ascii="Verdana" w:hAnsi="Verdana"/>
                <w:sz w:val="20"/>
                <w:szCs w:val="20"/>
                <w:lang w:val="en-GB"/>
              </w:rPr>
            </w:pPr>
          </w:p>
          <w:p w:rsidR="003C2C2B" w:rsidRPr="00A26287" w:rsidRDefault="003C2C2B" w:rsidP="003C2C2B">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bl>
    <w:p w:rsidR="00B6342B" w:rsidRPr="00A26287" w:rsidRDefault="00B6342B" w:rsidP="00B6342B">
      <w:pPr>
        <w:jc w:val="both"/>
        <w:rPr>
          <w:rFonts w:ascii="Verdana" w:hAnsi="Verdana"/>
          <w:sz w:val="20"/>
          <w:szCs w:val="20"/>
          <w:lang w:val="en-GB"/>
        </w:rPr>
      </w:pPr>
    </w:p>
    <w:p w:rsidR="00B6342B" w:rsidRPr="00A26287" w:rsidRDefault="00B6342B" w:rsidP="00B777B7">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u w:val="single"/>
          <w:lang w:val="en-GB"/>
        </w:rPr>
        <w:t>IPS deduction</w:t>
      </w:r>
      <w:r w:rsidRPr="00A26287">
        <w:rPr>
          <w:rFonts w:ascii="Verdana" w:hAnsi="Verdana"/>
          <w:sz w:val="20"/>
          <w:szCs w:val="20"/>
          <w:lang w:val="en-GB"/>
        </w:rPr>
        <w:t>:</w:t>
      </w:r>
    </w:p>
    <w:p w:rsidR="00B6342B" w:rsidRPr="00A26287" w:rsidRDefault="00B6342B" w:rsidP="00B777B7">
      <w:pPr>
        <w:jc w:val="both"/>
        <w:rPr>
          <w:rFonts w:ascii="Verdana" w:hAnsi="Verdana"/>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3C2C2B" w:rsidRPr="00A26287" w:rsidTr="00D807FE">
        <w:tc>
          <w:tcPr>
            <w:tcW w:w="7763" w:type="dxa"/>
            <w:shd w:val="clear" w:color="auto" w:fill="auto"/>
          </w:tcPr>
          <w:p w:rsidR="003C2C2B" w:rsidRPr="00A26287" w:rsidRDefault="003C2C2B" w:rsidP="003C2C2B">
            <w:pPr>
              <w:spacing w:after="240"/>
              <w:jc w:val="both"/>
              <w:rPr>
                <w:rFonts w:ascii="Verdana" w:hAnsi="Verdana"/>
                <w:sz w:val="20"/>
                <w:szCs w:val="20"/>
                <w:lang w:val="en-GB"/>
              </w:rPr>
            </w:pPr>
            <w:r w:rsidRPr="00A26287">
              <w:rPr>
                <w:rFonts w:ascii="Verdana" w:hAnsi="Verdana"/>
                <w:sz w:val="20"/>
                <w:szCs w:val="20"/>
                <w:lang w:val="en-GB"/>
              </w:rPr>
              <w:t xml:space="preserve">I certify that only the entities that comply with the conditions specified in Article 5(1)(b) of Commission Delegated Regulation (EU) 2015/63 on the relevant reference date were considered for IPS deduction </w:t>
            </w:r>
            <w:r w:rsidRPr="00A26287">
              <w:rPr>
                <w:rFonts w:ascii="Verdana" w:eastAsia="Times New Roman" w:hAnsi="Verdana"/>
                <w:sz w:val="20"/>
                <w:szCs w:val="20"/>
                <w:lang w:val="en-GB"/>
              </w:rPr>
              <w:t xml:space="preserve">in “Section E” of Deductions tab </w:t>
            </w:r>
            <w:r w:rsidRPr="00A26287">
              <w:rPr>
                <w:rFonts w:ascii="Verdana" w:hAnsi="Verdana"/>
                <w:sz w:val="20"/>
                <w:szCs w:val="20"/>
                <w:lang w:val="en-GB"/>
              </w:rPr>
              <w:t xml:space="preserve">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The aforementioned conditions are: </w:t>
            </w:r>
          </w:p>
          <w:p w:rsidR="003C2C2B" w:rsidRPr="00A26287" w:rsidRDefault="003C2C2B" w:rsidP="003C2C2B">
            <w:pPr>
              <w:numPr>
                <w:ilvl w:val="0"/>
                <w:numId w:val="30"/>
              </w:numPr>
              <w:ind w:left="1418"/>
              <w:jc w:val="both"/>
              <w:rPr>
                <w:rFonts w:ascii="Verdana" w:hAnsi="Verdana"/>
                <w:sz w:val="20"/>
                <w:szCs w:val="20"/>
                <w:lang w:val="en-GB"/>
              </w:rPr>
            </w:pPr>
            <w:r w:rsidRPr="00A26287">
              <w:rPr>
                <w:rFonts w:ascii="Verdana" w:hAnsi="Verdana"/>
                <w:sz w:val="20"/>
                <w:szCs w:val="20"/>
                <w:lang w:val="en-GB"/>
              </w:rPr>
              <w:t xml:space="preserve">If liabilities have been created by an institution, which is member of an IPS as referred to in point (8) of Article 2(1) of Directive 2014/59/EU; and </w:t>
            </w:r>
          </w:p>
          <w:p w:rsidR="003C2C2B" w:rsidRPr="00A26287" w:rsidRDefault="003C2C2B" w:rsidP="003C2C2B">
            <w:pPr>
              <w:numPr>
                <w:ilvl w:val="0"/>
                <w:numId w:val="30"/>
              </w:numPr>
              <w:ind w:left="1418"/>
              <w:jc w:val="both"/>
              <w:rPr>
                <w:rFonts w:ascii="Verdana" w:hAnsi="Verdana"/>
                <w:sz w:val="20"/>
                <w:szCs w:val="20"/>
                <w:lang w:val="en-GB"/>
              </w:rPr>
            </w:pPr>
            <w:r w:rsidRPr="00A26287">
              <w:rPr>
                <w:rFonts w:ascii="Verdana" w:hAnsi="Verdana"/>
                <w:sz w:val="20"/>
                <w:szCs w:val="20"/>
                <w:lang w:val="en-GB"/>
              </w:rPr>
              <w:t>Which has been allowed by the competent authority to apply Article 113(7) of Regulation (EU) No 575/2013, through an agreement entered into with another institution which is member of the same IPS;</w:t>
            </w:r>
          </w:p>
          <w:p w:rsidR="003C2C2B" w:rsidRPr="00A26287" w:rsidRDefault="003C2C2B" w:rsidP="003C2C2B">
            <w:pPr>
              <w:jc w:val="both"/>
              <w:rPr>
                <w:rFonts w:ascii="Verdana" w:eastAsia="Calibri" w:hAnsi="Verdana"/>
                <w:b/>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7962BD" w:rsidRPr="00A26287" w:rsidRDefault="007962BD" w:rsidP="002E3323">
            <w:pPr>
              <w:rPr>
                <w:rFonts w:ascii="Times New Roman" w:eastAsia="Calibri" w:hAnsi="Times New Roman"/>
                <w:lang w:val="en-GB"/>
              </w:rPr>
            </w:pPr>
          </w:p>
          <w:p w:rsidR="003C2C2B" w:rsidRPr="00A26287" w:rsidRDefault="003C2C2B" w:rsidP="002E3323">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2E3323">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2E3323">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sz w:val="20"/>
                <w:szCs w:val="20"/>
                <w:lang w:val="en-GB"/>
              </w:rPr>
              <w:t xml:space="preserve">I certify that the confirmation from the counterparty or appropriate reporting line (e.g. the IPS) on the liabilities and assets that have been reporting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has been obtained;</w:t>
            </w:r>
          </w:p>
          <w:p w:rsidR="003C2C2B" w:rsidRPr="00A26287" w:rsidRDefault="003C2C2B" w:rsidP="003C2C2B">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spacing w:after="240"/>
              <w:jc w:val="both"/>
              <w:rPr>
                <w:rFonts w:ascii="Verdana" w:hAnsi="Verdana"/>
                <w:sz w:val="20"/>
                <w:szCs w:val="20"/>
                <w:lang w:val="en-GB"/>
              </w:rPr>
            </w:pPr>
            <w:r w:rsidRPr="00A26287">
              <w:rPr>
                <w:rFonts w:ascii="Verdana" w:hAnsi="Verdana"/>
                <w:sz w:val="20"/>
                <w:szCs w:val="20"/>
                <w:lang w:val="en-GB"/>
              </w:rPr>
              <w:t xml:space="preserve">I certify that the following rule has been implemented when filling field “3E10” 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w:t>
            </w:r>
          </w:p>
          <w:p w:rsidR="003C2C2B" w:rsidRPr="00A26287" w:rsidRDefault="003C2C2B" w:rsidP="003C2C2B">
            <w:pPr>
              <w:numPr>
                <w:ilvl w:val="0"/>
                <w:numId w:val="39"/>
              </w:numPr>
              <w:jc w:val="both"/>
              <w:rPr>
                <w:rFonts w:ascii="Verdana" w:hAnsi="Verdana"/>
                <w:sz w:val="20"/>
                <w:szCs w:val="20"/>
                <w:lang w:val="en-GB"/>
              </w:rPr>
            </w:pPr>
            <w:r w:rsidRPr="00A26287">
              <w:rPr>
                <w:rFonts w:ascii="Verdana" w:hAnsi="Verdana"/>
                <w:sz w:val="20"/>
                <w:szCs w:val="20"/>
                <w:lang w:val="en-GB"/>
              </w:rPr>
              <w:t>Verification at which value it is booked as a liability by the group counterpart. In case of mismatch, the value booked by the group counterpart as a liability prevails; and</w:t>
            </w:r>
          </w:p>
          <w:p w:rsidR="003C2C2B" w:rsidRPr="00A26287" w:rsidRDefault="003C2C2B" w:rsidP="003C2C2B">
            <w:pPr>
              <w:numPr>
                <w:ilvl w:val="0"/>
                <w:numId w:val="39"/>
              </w:numPr>
              <w:jc w:val="both"/>
              <w:rPr>
                <w:rFonts w:ascii="Verdana" w:hAnsi="Verdana"/>
                <w:sz w:val="20"/>
                <w:szCs w:val="20"/>
                <w:lang w:val="en-GB"/>
              </w:rPr>
            </w:pPr>
            <w:r w:rsidRPr="00A26287">
              <w:rPr>
                <w:rFonts w:ascii="Verdana" w:hAnsi="Verdana"/>
                <w:sz w:val="20"/>
                <w:szCs w:val="20"/>
                <w:lang w:val="en-GB"/>
              </w:rPr>
              <w:t>When applicable, application of the leverage ratio methodology and verification whether it matches the leverage value after floor calculated by the group counterpart. In case of mismatch, the value calculated by the group counterpart as a liability prevails</w:t>
            </w:r>
          </w:p>
        </w:tc>
        <w:tc>
          <w:tcPr>
            <w:tcW w:w="1276" w:type="dxa"/>
            <w:shd w:val="clear" w:color="auto" w:fill="auto"/>
          </w:tcPr>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bl>
    <w:p w:rsidR="00B6342B" w:rsidRPr="00A26287" w:rsidRDefault="00B6342B" w:rsidP="00B6342B">
      <w:pPr>
        <w:jc w:val="both"/>
        <w:rPr>
          <w:rFonts w:ascii="Verdana" w:hAnsi="Verdana"/>
          <w:sz w:val="20"/>
          <w:szCs w:val="20"/>
          <w:lang w:val="en-GB"/>
        </w:rPr>
      </w:pPr>
    </w:p>
    <w:p w:rsidR="00B6342B" w:rsidRPr="00A26287" w:rsidRDefault="00B6342B" w:rsidP="00B777B7">
      <w:pPr>
        <w:jc w:val="both"/>
        <w:rPr>
          <w:rFonts w:ascii="Verdana" w:hAnsi="Verdana"/>
          <w:sz w:val="20"/>
          <w:szCs w:val="20"/>
          <w:lang w:val="en-GB"/>
        </w:rPr>
      </w:pPr>
      <w:r w:rsidRPr="00A26287">
        <w:rPr>
          <w:rFonts w:ascii="Verdana" w:hAnsi="Verdana"/>
          <w:sz w:val="20"/>
          <w:szCs w:val="20"/>
          <w:lang w:val="en-GB"/>
        </w:rPr>
        <w:t xml:space="preserve">As regards </w:t>
      </w:r>
      <w:r w:rsidRPr="00A26287">
        <w:rPr>
          <w:rFonts w:ascii="Verdana" w:hAnsi="Verdana"/>
          <w:sz w:val="20"/>
          <w:szCs w:val="20"/>
          <w:u w:val="single"/>
          <w:lang w:val="en-GB"/>
        </w:rPr>
        <w:t>intragroup deduction</w:t>
      </w:r>
      <w:r w:rsidRPr="00A26287">
        <w:rPr>
          <w:rFonts w:ascii="Verdana" w:hAnsi="Verdana"/>
          <w:sz w:val="20"/>
          <w:szCs w:val="20"/>
          <w:lang w:val="en-GB"/>
        </w:rPr>
        <w:t>:</w:t>
      </w:r>
    </w:p>
    <w:p w:rsidR="00B6342B" w:rsidRPr="00A26287" w:rsidRDefault="00B6342B" w:rsidP="00B777B7">
      <w:pPr>
        <w:jc w:val="both"/>
        <w:rPr>
          <w:rFonts w:ascii="Verdana" w:hAnsi="Verdana"/>
          <w:sz w:val="20"/>
          <w:szCs w:val="20"/>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276"/>
      </w:tblGrid>
      <w:tr w:rsidR="003C2C2B" w:rsidRPr="00A26287" w:rsidTr="00D807FE">
        <w:tc>
          <w:tcPr>
            <w:tcW w:w="7763" w:type="dxa"/>
            <w:shd w:val="clear" w:color="auto" w:fill="auto"/>
          </w:tcPr>
          <w:p w:rsidR="003C2C2B" w:rsidRPr="00A26287" w:rsidRDefault="003C2C2B" w:rsidP="003C2C2B">
            <w:pPr>
              <w:spacing w:after="240"/>
              <w:jc w:val="both"/>
              <w:rPr>
                <w:rFonts w:ascii="Verdana" w:hAnsi="Verdana"/>
                <w:sz w:val="20"/>
                <w:szCs w:val="20"/>
                <w:lang w:val="en-GB"/>
              </w:rPr>
            </w:pPr>
            <w:r w:rsidRPr="00A26287">
              <w:rPr>
                <w:rFonts w:ascii="Verdana" w:hAnsi="Verdana"/>
                <w:sz w:val="20"/>
                <w:szCs w:val="20"/>
                <w:lang w:val="en-GB"/>
              </w:rPr>
              <w:t xml:space="preserve">I certify that only the entities that comply with the three conditions specified in Article 5(1)(a) of Commission Delegated Regulation (EU) 2015/63 on the relevant reference date were considered for intragroup deduction </w:t>
            </w:r>
            <w:r w:rsidRPr="00A26287">
              <w:rPr>
                <w:rFonts w:ascii="Verdana" w:eastAsia="Times New Roman" w:hAnsi="Verdana"/>
                <w:sz w:val="20"/>
                <w:szCs w:val="20"/>
                <w:lang w:val="en-GB"/>
              </w:rPr>
              <w:t xml:space="preserve">in </w:t>
            </w:r>
            <w:r w:rsidRPr="00A26287">
              <w:rPr>
                <w:rFonts w:ascii="Verdana" w:eastAsia="Times New Roman" w:hAnsi="Verdana"/>
                <w:sz w:val="20"/>
                <w:szCs w:val="20"/>
                <w:lang w:val="en-GB"/>
              </w:rPr>
              <w:lastRenderedPageBreak/>
              <w:t xml:space="preserve">“Section E” of Deductions tab </w:t>
            </w:r>
            <w:r w:rsidRPr="00A26287">
              <w:rPr>
                <w:rFonts w:ascii="Verdana" w:hAnsi="Verdana"/>
                <w:sz w:val="20"/>
                <w:szCs w:val="20"/>
                <w:lang w:val="en-GB"/>
              </w:rPr>
              <w:t xml:space="preserve">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The aforementioned conditions are:</w:t>
            </w:r>
          </w:p>
          <w:p w:rsidR="003C2C2B" w:rsidRPr="00A26287" w:rsidRDefault="003C2C2B" w:rsidP="003C2C2B">
            <w:pPr>
              <w:numPr>
                <w:ilvl w:val="0"/>
                <w:numId w:val="32"/>
              </w:numPr>
              <w:ind w:left="1418"/>
              <w:jc w:val="both"/>
              <w:rPr>
                <w:rFonts w:ascii="Verdana" w:hAnsi="Verdana"/>
                <w:sz w:val="20"/>
                <w:szCs w:val="20"/>
                <w:lang w:val="en-GB"/>
              </w:rPr>
            </w:pPr>
            <w:r w:rsidRPr="00A26287">
              <w:rPr>
                <w:rFonts w:ascii="Verdana" w:hAnsi="Verdana"/>
                <w:sz w:val="20"/>
                <w:szCs w:val="20"/>
                <w:lang w:val="en-GB"/>
              </w:rPr>
              <w:t>Each institution is established in the Union;</w:t>
            </w:r>
          </w:p>
          <w:p w:rsidR="003C2C2B" w:rsidRPr="00A26287" w:rsidRDefault="003C2C2B" w:rsidP="003C2C2B">
            <w:pPr>
              <w:numPr>
                <w:ilvl w:val="0"/>
                <w:numId w:val="32"/>
              </w:numPr>
              <w:ind w:left="1418"/>
              <w:jc w:val="both"/>
              <w:rPr>
                <w:rFonts w:ascii="Verdana" w:hAnsi="Verdana"/>
                <w:sz w:val="20"/>
                <w:szCs w:val="20"/>
                <w:lang w:val="en-GB"/>
              </w:rPr>
            </w:pPr>
            <w:r w:rsidRPr="00A26287">
              <w:rPr>
                <w:rFonts w:ascii="Verdana" w:hAnsi="Verdana"/>
                <w:sz w:val="20"/>
                <w:szCs w:val="20"/>
                <w:lang w:val="en-GB"/>
              </w:rPr>
              <w:t>Each institution is included in the same consolidated supervision in accordance with Articles 6 to 17 of Regulation (EU) No 575/2013 on a full basis and is subject to an appropriate centralised risk evaluation, measurement and control procedures; and</w:t>
            </w:r>
          </w:p>
          <w:p w:rsidR="003C2C2B" w:rsidRPr="00A26287" w:rsidRDefault="003C2C2B" w:rsidP="003C2C2B">
            <w:pPr>
              <w:numPr>
                <w:ilvl w:val="0"/>
                <w:numId w:val="32"/>
              </w:numPr>
              <w:ind w:left="1418"/>
              <w:jc w:val="both"/>
              <w:rPr>
                <w:rFonts w:ascii="Verdana" w:hAnsi="Verdana"/>
                <w:sz w:val="20"/>
                <w:szCs w:val="20"/>
                <w:lang w:val="en-GB"/>
              </w:rPr>
            </w:pPr>
            <w:r w:rsidRPr="00A26287">
              <w:rPr>
                <w:rFonts w:ascii="Verdana" w:hAnsi="Verdana"/>
                <w:sz w:val="20"/>
                <w:szCs w:val="20"/>
                <w:lang w:val="en-GB"/>
              </w:rPr>
              <w:t>There is no current or foreseen material practical or legal impediment to the prompt repayment of the liability when due;</w:t>
            </w:r>
          </w:p>
          <w:p w:rsidR="003C2C2B" w:rsidRPr="00A26287" w:rsidRDefault="003C2C2B" w:rsidP="003C2C2B">
            <w:pPr>
              <w:jc w:val="both"/>
              <w:rPr>
                <w:rFonts w:ascii="Verdana" w:eastAsia="Calibri" w:hAnsi="Verdana"/>
                <w:b/>
                <w:sz w:val="20"/>
                <w:szCs w:val="20"/>
                <w:lang w:val="en-GB"/>
              </w:rPr>
            </w:pPr>
          </w:p>
        </w:tc>
        <w:tc>
          <w:tcPr>
            <w:tcW w:w="1276" w:type="dxa"/>
            <w:shd w:val="clear" w:color="auto" w:fill="auto"/>
          </w:tcPr>
          <w:p w:rsidR="003C2C2B" w:rsidRPr="00A26287" w:rsidRDefault="003C2C2B" w:rsidP="003C2C2B">
            <w:pPr>
              <w:rPr>
                <w:rFonts w:ascii="Times New Roman" w:eastAsia="Calibri" w:hAnsi="Times New Roman"/>
                <w:lang w:val="en-GB"/>
              </w:rPr>
            </w:pPr>
          </w:p>
          <w:p w:rsidR="007962BD" w:rsidRPr="00A26287" w:rsidRDefault="007962BD" w:rsidP="003C2C2B">
            <w:pPr>
              <w:rPr>
                <w:rFonts w:ascii="Times New Roman" w:eastAsia="Calibri" w:hAnsi="Times New Roman"/>
                <w:lang w:val="en-GB"/>
              </w:rPr>
            </w:pPr>
          </w:p>
          <w:p w:rsidR="007962BD" w:rsidRPr="00A26287" w:rsidRDefault="007962BD" w:rsidP="003C2C2B">
            <w:pPr>
              <w:rPr>
                <w:rFonts w:ascii="Times New Roman" w:eastAsia="Calibri" w:hAnsi="Times New Roman"/>
                <w:lang w:val="en-GB"/>
              </w:rPr>
            </w:pPr>
          </w:p>
          <w:p w:rsidR="003C2C2B" w:rsidRPr="00A26287" w:rsidRDefault="003C2C2B"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sz w:val="20"/>
                <w:szCs w:val="20"/>
                <w:lang w:val="en-GB"/>
              </w:rPr>
              <w:lastRenderedPageBreak/>
              <w:t>I certify that institutions which are part of the same group and are established in an EEA-EFTA country are not considered for intragroup deduction until the Bank Recovery and Resolution Directive 2014/59/EU has been incorporated into the EEA Agreement;</w:t>
            </w:r>
          </w:p>
          <w:p w:rsidR="003C2C2B" w:rsidRPr="00A26287" w:rsidRDefault="003C2C2B" w:rsidP="003C2C2B">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sz w:val="20"/>
                <w:szCs w:val="20"/>
                <w:lang w:val="en-GB"/>
              </w:rPr>
              <w:t xml:space="preserve">I certify that the confirmation from the counterparty or appropriate reporting line (e.g. parent company) on the liabilities and assets that have been reporting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 has been obtained</w:t>
            </w:r>
          </w:p>
          <w:p w:rsidR="003C2C2B" w:rsidRPr="00A26287" w:rsidRDefault="003C2C2B" w:rsidP="003C2C2B">
            <w:pPr>
              <w:jc w:val="both"/>
              <w:rPr>
                <w:rFonts w:ascii="Verdana" w:hAnsi="Verdana"/>
                <w:sz w:val="20"/>
                <w:szCs w:val="20"/>
                <w:lang w:val="en-GB"/>
              </w:rPr>
            </w:pPr>
          </w:p>
        </w:tc>
        <w:tc>
          <w:tcPr>
            <w:tcW w:w="1276" w:type="dxa"/>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D807FE">
        <w:tc>
          <w:tcPr>
            <w:tcW w:w="7763" w:type="dxa"/>
            <w:shd w:val="clear" w:color="auto" w:fill="auto"/>
          </w:tcPr>
          <w:p w:rsidR="003C2C2B" w:rsidRPr="00A26287" w:rsidRDefault="003C2C2B" w:rsidP="003C2C2B">
            <w:pPr>
              <w:jc w:val="both"/>
              <w:rPr>
                <w:rFonts w:ascii="Verdana" w:hAnsi="Verdana"/>
                <w:sz w:val="20"/>
                <w:szCs w:val="20"/>
                <w:lang w:val="en-GB"/>
              </w:rPr>
            </w:pPr>
            <w:r w:rsidRPr="00A26287">
              <w:rPr>
                <w:rFonts w:ascii="Verdana" w:hAnsi="Verdana"/>
                <w:sz w:val="20"/>
                <w:szCs w:val="20"/>
                <w:lang w:val="en-GB"/>
              </w:rPr>
              <w:t xml:space="preserve">I certify that the following rule has been documented and implemented when filling field “3F10” in the </w:t>
            </w:r>
            <w:r w:rsidR="00C235D7" w:rsidRPr="00A26287">
              <w:rPr>
                <w:rFonts w:ascii="Verdana" w:hAnsi="Verdana"/>
                <w:sz w:val="20"/>
                <w:szCs w:val="20"/>
                <w:lang w:val="en-GB"/>
              </w:rPr>
              <w:t>2021</w:t>
            </w:r>
            <w:r w:rsidRPr="00A26287">
              <w:rPr>
                <w:rFonts w:ascii="Verdana" w:hAnsi="Verdana"/>
                <w:sz w:val="20"/>
                <w:szCs w:val="20"/>
                <w:lang w:val="en-GB"/>
              </w:rPr>
              <w:t xml:space="preserve"> Reporting Form:</w:t>
            </w:r>
          </w:p>
          <w:p w:rsidR="003C2C2B" w:rsidRPr="00A26287" w:rsidRDefault="003C2C2B" w:rsidP="003C2C2B">
            <w:pPr>
              <w:numPr>
                <w:ilvl w:val="0"/>
                <w:numId w:val="40"/>
              </w:numPr>
              <w:jc w:val="both"/>
              <w:rPr>
                <w:rFonts w:ascii="Verdana" w:hAnsi="Verdana"/>
                <w:sz w:val="20"/>
                <w:szCs w:val="20"/>
                <w:lang w:val="en-GB"/>
              </w:rPr>
            </w:pPr>
            <w:r w:rsidRPr="00A26287">
              <w:rPr>
                <w:rFonts w:ascii="Verdana" w:hAnsi="Verdana"/>
                <w:sz w:val="20"/>
                <w:szCs w:val="20"/>
                <w:lang w:val="en-GB"/>
              </w:rPr>
              <w:t>Verification at which value it is booked as a liability by the group counterpart. In case of mismatch, the value booked by the group counterpart as a liability prevails; and</w:t>
            </w:r>
          </w:p>
          <w:p w:rsidR="003C2C2B" w:rsidRPr="00A26287" w:rsidRDefault="003C2C2B" w:rsidP="003C2C2B">
            <w:pPr>
              <w:numPr>
                <w:ilvl w:val="0"/>
                <w:numId w:val="40"/>
              </w:numPr>
              <w:jc w:val="both"/>
              <w:rPr>
                <w:rFonts w:ascii="Verdana" w:hAnsi="Verdana"/>
                <w:sz w:val="20"/>
                <w:szCs w:val="20"/>
                <w:lang w:val="en-GB"/>
              </w:rPr>
            </w:pPr>
            <w:r w:rsidRPr="00A26287">
              <w:rPr>
                <w:rFonts w:ascii="Verdana" w:hAnsi="Verdana"/>
                <w:sz w:val="20"/>
                <w:szCs w:val="20"/>
                <w:lang w:val="en-GB"/>
              </w:rPr>
              <w:t xml:space="preserve">When applicable, application of the leverage ratio methodology and verification whether it matches the leverage value after floor calculated by the group counterpart. In case of mismatch, the value calculated by the group counterpart as a liability prevails. </w:t>
            </w:r>
          </w:p>
        </w:tc>
        <w:tc>
          <w:tcPr>
            <w:tcW w:w="1276" w:type="dxa"/>
            <w:shd w:val="clear" w:color="auto" w:fill="auto"/>
          </w:tcPr>
          <w:p w:rsidR="003C2C2B" w:rsidRPr="00A26287" w:rsidRDefault="003C2C2B" w:rsidP="003C2C2B">
            <w:pPr>
              <w:rPr>
                <w:rFonts w:ascii="Times New Roman" w:eastAsia="Calibri" w:hAnsi="Times New Roman"/>
                <w:lang w:val="en-GB"/>
              </w:rPr>
            </w:pPr>
          </w:p>
          <w:p w:rsidR="007962BD" w:rsidRPr="00A26287" w:rsidRDefault="007962BD" w:rsidP="003C2C2B">
            <w:pPr>
              <w:rPr>
                <w:rFonts w:ascii="Times New Roman" w:eastAsia="Calibri" w:hAnsi="Times New Roman"/>
                <w:lang w:val="en-GB"/>
              </w:rPr>
            </w:pPr>
          </w:p>
          <w:p w:rsidR="007962BD" w:rsidRPr="00A26287" w:rsidRDefault="007962BD" w:rsidP="003C2C2B">
            <w:pPr>
              <w:rPr>
                <w:rFonts w:ascii="Times New Roman" w:eastAsia="Calibri" w:hAnsi="Times New Roman"/>
                <w:lang w:val="en-GB"/>
              </w:rPr>
            </w:pP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r w:rsidR="003C2C2B" w:rsidRPr="00A26287" w:rsidTr="002E3323">
        <w:trPr>
          <w:trHeight w:val="4659"/>
        </w:trPr>
        <w:tc>
          <w:tcPr>
            <w:tcW w:w="7763" w:type="dxa"/>
            <w:tcBorders>
              <w:top w:val="single" w:sz="4" w:space="0" w:color="auto"/>
              <w:left w:val="single" w:sz="4" w:space="0" w:color="auto"/>
              <w:bottom w:val="single" w:sz="4" w:space="0" w:color="auto"/>
              <w:right w:val="single" w:sz="4" w:space="0" w:color="auto"/>
            </w:tcBorders>
            <w:shd w:val="clear" w:color="auto" w:fill="auto"/>
          </w:tcPr>
          <w:p w:rsidR="007962BD" w:rsidRPr="00A26287" w:rsidRDefault="007962BD" w:rsidP="003C2C2B">
            <w:pPr>
              <w:jc w:val="both"/>
              <w:rPr>
                <w:rFonts w:ascii="Verdana" w:hAnsi="Verdana"/>
                <w:sz w:val="20"/>
                <w:szCs w:val="20"/>
                <w:lang w:val="en-GB"/>
              </w:rPr>
            </w:pPr>
          </w:p>
          <w:p w:rsidR="003C2C2B" w:rsidRPr="00A26287" w:rsidRDefault="003C2C2B" w:rsidP="003C2C2B">
            <w:pPr>
              <w:jc w:val="both"/>
              <w:rPr>
                <w:rFonts w:ascii="Verdana" w:hAnsi="Verdana"/>
                <w:sz w:val="22"/>
                <w:szCs w:val="20"/>
                <w:lang w:val="en-GB"/>
              </w:rPr>
            </w:pPr>
            <w:r w:rsidRPr="00A26287">
              <w:rPr>
                <w:rFonts w:ascii="Verdana" w:hAnsi="Verdana"/>
                <w:sz w:val="20"/>
                <w:szCs w:val="20"/>
                <w:lang w:val="en-GB"/>
              </w:rPr>
              <w:t>{Additional comments here, if any}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Yes</w:t>
            </w:r>
          </w:p>
          <w:p w:rsidR="003C2C2B" w:rsidRPr="00A26287" w:rsidRDefault="003C2C2B" w:rsidP="003C2C2B">
            <w:pPr>
              <w:rPr>
                <w:rFonts w:ascii="Verdana" w:hAnsi="Verdana"/>
                <w:sz w:val="18"/>
                <w:szCs w:val="18"/>
                <w:lang w:val="en-GB"/>
              </w:rPr>
            </w:pPr>
            <w:r w:rsidRPr="00A26287">
              <w:rPr>
                <w:rFonts w:ascii="Times New Roman" w:eastAsia="Calibri" w:hAnsi="Times New Roman"/>
                <w:lang w:val="en-GB"/>
              </w:rPr>
              <w:t xml:space="preserve">□  </w:t>
            </w:r>
            <w:r w:rsidRPr="00A26287">
              <w:rPr>
                <w:rFonts w:ascii="Verdana" w:hAnsi="Verdana"/>
                <w:sz w:val="18"/>
                <w:szCs w:val="18"/>
                <w:lang w:val="en-GB"/>
              </w:rPr>
              <w:t>No</w:t>
            </w:r>
          </w:p>
          <w:p w:rsidR="003C2C2B" w:rsidRPr="00A26287" w:rsidRDefault="003C2C2B" w:rsidP="003C2C2B">
            <w:pPr>
              <w:rPr>
                <w:rFonts w:ascii="Times New Roman" w:eastAsia="Calibri" w:hAnsi="Times New Roman"/>
                <w:sz w:val="16"/>
                <w:szCs w:val="16"/>
                <w:lang w:val="en-GB"/>
              </w:rPr>
            </w:pPr>
            <w:r w:rsidRPr="00A26287">
              <w:rPr>
                <w:rFonts w:ascii="Times New Roman" w:eastAsia="Calibri" w:hAnsi="Times New Roman"/>
                <w:lang w:val="en-GB"/>
              </w:rPr>
              <w:t xml:space="preserve">□  </w:t>
            </w:r>
            <w:r w:rsidRPr="00A26287">
              <w:rPr>
                <w:rFonts w:ascii="Verdana" w:hAnsi="Verdana"/>
                <w:sz w:val="18"/>
                <w:szCs w:val="18"/>
                <w:lang w:val="en-GB"/>
              </w:rPr>
              <w:t>N/A</w:t>
            </w:r>
            <w:r w:rsidRPr="00A26287">
              <w:rPr>
                <w:rFonts w:ascii="Times New Roman" w:eastAsia="Calibri" w:hAnsi="Times New Roman"/>
                <w:sz w:val="16"/>
                <w:szCs w:val="16"/>
                <w:lang w:val="en-GB"/>
              </w:rPr>
              <w:t xml:space="preserve"> </w:t>
            </w:r>
          </w:p>
        </w:tc>
      </w:tr>
    </w:tbl>
    <w:p w:rsidR="00B6342B" w:rsidRPr="00A26287" w:rsidRDefault="00B6342B" w:rsidP="00B6342B">
      <w:pPr>
        <w:jc w:val="both"/>
        <w:rPr>
          <w:rFonts w:ascii="Verdana" w:hAnsi="Verdana"/>
          <w:sz w:val="20"/>
          <w:szCs w:val="20"/>
          <w:lang w:val="en-GB"/>
        </w:rPr>
      </w:pPr>
    </w:p>
    <w:p w:rsidR="00B6342B" w:rsidRPr="00A26287" w:rsidRDefault="00B6342B" w:rsidP="00B6342B">
      <w:pPr>
        <w:rPr>
          <w:rFonts w:ascii="Verdana" w:hAnsi="Verdana"/>
          <w:sz w:val="20"/>
          <w:szCs w:val="20"/>
          <w:lang w:val="en-GB"/>
        </w:rPr>
      </w:pPr>
    </w:p>
    <w:p w:rsidR="00B6342B" w:rsidRPr="00A26287" w:rsidRDefault="00B6342B" w:rsidP="00B6342B">
      <w:pPr>
        <w:rPr>
          <w:rFonts w:ascii="Verdana" w:hAnsi="Verdana"/>
          <w:sz w:val="20"/>
          <w:szCs w:val="20"/>
          <w:lang w:val="en-GB"/>
        </w:rPr>
      </w:pPr>
    </w:p>
    <w:p w:rsidR="00B6342B" w:rsidRPr="00A26287" w:rsidRDefault="00B6342B" w:rsidP="00B6342B">
      <w:pPr>
        <w:rPr>
          <w:rFonts w:ascii="Verdana" w:hAnsi="Verdana"/>
          <w:sz w:val="20"/>
          <w:szCs w:val="20"/>
          <w:lang w:val="en-GB"/>
        </w:rPr>
      </w:pPr>
    </w:p>
    <w:p w:rsidR="00B6342B" w:rsidRPr="00A26287" w:rsidRDefault="00B6342B" w:rsidP="00B6342B">
      <w:pPr>
        <w:rPr>
          <w:rFonts w:ascii="Verdana" w:hAnsi="Verdana"/>
          <w:sz w:val="20"/>
          <w:szCs w:val="20"/>
          <w:lang w:val="en-GB"/>
        </w:rPr>
      </w:pPr>
      <w:r w:rsidRPr="00A26287">
        <w:rPr>
          <w:rFonts w:ascii="Verdana" w:hAnsi="Verdana"/>
          <w:sz w:val="20"/>
          <w:szCs w:val="20"/>
          <w:lang w:val="en-GB"/>
        </w:rPr>
        <w:t xml:space="preserve">The Institution                                                             </w:t>
      </w:r>
    </w:p>
    <w:p w:rsidR="00B6342B" w:rsidRPr="00A26287" w:rsidRDefault="00B6342B" w:rsidP="00B6342B">
      <w:pPr>
        <w:rPr>
          <w:rFonts w:ascii="Verdana" w:hAnsi="Verdana"/>
          <w:sz w:val="20"/>
          <w:szCs w:val="20"/>
          <w:lang w:val="en-GB"/>
        </w:rPr>
      </w:pPr>
      <w:r w:rsidRPr="00A26287">
        <w:rPr>
          <w:rFonts w:ascii="Verdana" w:hAnsi="Verdana"/>
          <w:sz w:val="20"/>
          <w:szCs w:val="20"/>
          <w:lang w:val="en-GB"/>
        </w:rPr>
        <w:t>[Name of the institution]</w:t>
      </w:r>
    </w:p>
    <w:p w:rsidR="00B6342B" w:rsidRPr="00A26287" w:rsidRDefault="00B6342B" w:rsidP="00B6342B">
      <w:pPr>
        <w:rPr>
          <w:rFonts w:ascii="Verdana" w:hAnsi="Verdana"/>
          <w:sz w:val="20"/>
          <w:szCs w:val="20"/>
          <w:lang w:val="en-GB"/>
        </w:rPr>
      </w:pPr>
    </w:p>
    <w:p w:rsidR="00B6342B" w:rsidRPr="00A26287" w:rsidRDefault="00B6342B" w:rsidP="00B6342B">
      <w:pPr>
        <w:rPr>
          <w:rFonts w:ascii="Verdana" w:hAnsi="Verdana"/>
          <w:sz w:val="20"/>
          <w:szCs w:val="20"/>
          <w:lang w:val="en-GB"/>
        </w:rPr>
      </w:pPr>
    </w:p>
    <w:p w:rsidR="00B6342B" w:rsidRPr="00A26287" w:rsidRDefault="00B6342B" w:rsidP="00B6342B">
      <w:pPr>
        <w:rPr>
          <w:rFonts w:ascii="Verdana" w:hAnsi="Verdana"/>
          <w:sz w:val="20"/>
          <w:szCs w:val="20"/>
          <w:lang w:val="en-GB"/>
        </w:rPr>
      </w:pPr>
      <w:r w:rsidRPr="00A26287">
        <w:rPr>
          <w:rFonts w:ascii="Verdana" w:hAnsi="Verdana"/>
          <w:sz w:val="20"/>
          <w:szCs w:val="20"/>
          <w:lang w:val="en-GB"/>
        </w:rPr>
        <w:t xml:space="preserve">Duly represented by:   </w:t>
      </w:r>
    </w:p>
    <w:p w:rsidR="00B6342B" w:rsidRPr="00A26287" w:rsidRDefault="00B6342B" w:rsidP="00B6342B">
      <w:pPr>
        <w:rPr>
          <w:rFonts w:ascii="Verdana" w:hAnsi="Verdana"/>
          <w:sz w:val="20"/>
          <w:szCs w:val="20"/>
          <w:lang w:val="en-GB"/>
        </w:rPr>
      </w:pPr>
      <w:r w:rsidRPr="00A26287">
        <w:rPr>
          <w:rFonts w:ascii="Verdana" w:hAnsi="Verdana"/>
          <w:sz w:val="20"/>
          <w:szCs w:val="20"/>
          <w:lang w:val="en-GB"/>
        </w:rPr>
        <w:t xml:space="preserve">                                                  </w:t>
      </w:r>
    </w:p>
    <w:p w:rsidR="00B6342B" w:rsidRPr="00A26287" w:rsidRDefault="00B6342B" w:rsidP="00B6342B">
      <w:pPr>
        <w:rPr>
          <w:rFonts w:ascii="Verdana" w:hAnsi="Verdana"/>
          <w:sz w:val="20"/>
          <w:szCs w:val="20"/>
          <w:lang w:val="en-GB"/>
        </w:rPr>
      </w:pPr>
      <w:r w:rsidRPr="00A26287">
        <w:rPr>
          <w:rFonts w:ascii="Verdana" w:hAnsi="Verdana"/>
          <w:sz w:val="20"/>
          <w:szCs w:val="20"/>
          <w:u w:val="single"/>
          <w:lang w:val="en-GB"/>
        </w:rPr>
        <w:t>Signature:</w:t>
      </w:r>
      <w:r w:rsidRPr="00A26287">
        <w:rPr>
          <w:rFonts w:ascii="Verdana" w:hAnsi="Verdana"/>
          <w:sz w:val="20"/>
          <w:szCs w:val="20"/>
          <w:lang w:val="en-GB"/>
        </w:rPr>
        <w:t xml:space="preserve">_______________________                                                                         </w:t>
      </w:r>
    </w:p>
    <w:p w:rsidR="00B6342B" w:rsidRPr="00A26287" w:rsidRDefault="00B6342B" w:rsidP="00B6342B">
      <w:pPr>
        <w:rPr>
          <w:rFonts w:ascii="Verdana" w:hAnsi="Verdana"/>
          <w:sz w:val="20"/>
          <w:szCs w:val="20"/>
          <w:lang w:val="en-GB"/>
        </w:rPr>
      </w:pPr>
      <w:r w:rsidRPr="00A26287">
        <w:rPr>
          <w:rFonts w:ascii="Verdana" w:hAnsi="Verdana"/>
          <w:sz w:val="20"/>
          <w:szCs w:val="20"/>
          <w:lang w:val="en-GB"/>
        </w:rPr>
        <w:t>Name:</w:t>
      </w:r>
    </w:p>
    <w:p w:rsidR="00B6342B" w:rsidRPr="00A26287" w:rsidRDefault="00B6342B" w:rsidP="00B6342B">
      <w:pPr>
        <w:rPr>
          <w:rFonts w:ascii="Verdana" w:hAnsi="Verdana"/>
          <w:sz w:val="20"/>
          <w:szCs w:val="20"/>
          <w:lang w:val="en-GB"/>
        </w:rPr>
      </w:pPr>
      <w:r w:rsidRPr="00A26287">
        <w:rPr>
          <w:rFonts w:ascii="Verdana" w:hAnsi="Verdana"/>
          <w:sz w:val="20"/>
          <w:szCs w:val="20"/>
          <w:lang w:val="en-GB"/>
        </w:rPr>
        <w:t xml:space="preserve">Title:                                                                            </w:t>
      </w:r>
    </w:p>
    <w:p w:rsidR="00B6342B" w:rsidRPr="0006697E" w:rsidRDefault="00B6342B" w:rsidP="00B6342B">
      <w:pPr>
        <w:rPr>
          <w:rFonts w:ascii="Verdana" w:hAnsi="Verdana"/>
          <w:sz w:val="20"/>
          <w:szCs w:val="20"/>
          <w:lang w:val="en-GB"/>
        </w:rPr>
      </w:pPr>
      <w:r w:rsidRPr="00A26287">
        <w:rPr>
          <w:rFonts w:ascii="Verdana" w:hAnsi="Verdana"/>
          <w:sz w:val="20"/>
          <w:szCs w:val="20"/>
          <w:lang w:val="en-GB"/>
        </w:rPr>
        <w:t>Date:</w:t>
      </w:r>
      <w:bookmarkStart w:id="8" w:name="_GoBack"/>
      <w:bookmarkEnd w:id="8"/>
      <w:r w:rsidRPr="0006697E">
        <w:rPr>
          <w:rFonts w:ascii="Verdana" w:hAnsi="Verdana"/>
          <w:sz w:val="20"/>
          <w:szCs w:val="20"/>
          <w:lang w:val="en-GB"/>
        </w:rPr>
        <w:t xml:space="preserve">     </w:t>
      </w:r>
    </w:p>
    <w:p w:rsidR="00B6342B" w:rsidRPr="0006697E" w:rsidRDefault="00B6342B" w:rsidP="00B6342B">
      <w:pPr>
        <w:jc w:val="both"/>
        <w:rPr>
          <w:rFonts w:ascii="Verdana" w:hAnsi="Verdana"/>
          <w:sz w:val="20"/>
          <w:szCs w:val="20"/>
          <w:lang w:val="en-GB"/>
        </w:rPr>
      </w:pPr>
    </w:p>
    <w:p w:rsidR="00B6342B" w:rsidRPr="0006697E" w:rsidRDefault="00B6342B" w:rsidP="00B6342B">
      <w:pPr>
        <w:jc w:val="both"/>
        <w:rPr>
          <w:rFonts w:ascii="Verdana" w:hAnsi="Verdana"/>
          <w:sz w:val="20"/>
          <w:szCs w:val="20"/>
          <w:lang w:val="en-GB"/>
        </w:rPr>
      </w:pPr>
    </w:p>
    <w:p w:rsidR="00B6342B" w:rsidRPr="0006697E" w:rsidRDefault="00B6342B" w:rsidP="00B6342B">
      <w:pPr>
        <w:rPr>
          <w:rFonts w:ascii="Verdana" w:hAnsi="Verdana"/>
          <w:sz w:val="20"/>
          <w:szCs w:val="20"/>
          <w:lang w:val="en-GB"/>
        </w:rPr>
      </w:pPr>
    </w:p>
    <w:p w:rsidR="00B6342B" w:rsidRDefault="00B6342B" w:rsidP="00B6342B">
      <w:pPr>
        <w:rPr>
          <w:rFonts w:ascii="Verdana" w:hAnsi="Verdana"/>
          <w:sz w:val="20"/>
          <w:szCs w:val="20"/>
        </w:rPr>
      </w:pPr>
    </w:p>
    <w:p w:rsidR="0006697E" w:rsidRPr="0006697E" w:rsidRDefault="0006697E" w:rsidP="00B6342B">
      <w:pPr>
        <w:rPr>
          <w:rFonts w:ascii="Verdana" w:eastAsia="Times New Roman" w:hAnsi="Verdana"/>
          <w:b/>
          <w:color w:val="0046AD"/>
          <w:sz w:val="20"/>
          <w:szCs w:val="20"/>
          <w:lang w:val="en-GB"/>
        </w:rPr>
      </w:pPr>
    </w:p>
    <w:sectPr w:rsidR="0006697E" w:rsidRPr="0006697E" w:rsidSect="00B777B7">
      <w:headerReference w:type="default" r:id="rId11"/>
      <w:footerReference w:type="default" r:id="rId12"/>
      <w:pgSz w:w="11906" w:h="16838" w:code="9"/>
      <w:pgMar w:top="2410" w:right="1418" w:bottom="1134" w:left="1418" w:header="1191" w:footer="6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B6" w:rsidRDefault="002B6FB6" w:rsidP="00F1326F">
      <w:r>
        <w:separator/>
      </w:r>
    </w:p>
  </w:endnote>
  <w:endnote w:type="continuationSeparator" w:id="0">
    <w:p w:rsidR="002B6FB6" w:rsidRDefault="002B6FB6" w:rsidP="00F1326F">
      <w:r>
        <w:continuationSeparator/>
      </w:r>
    </w:p>
  </w:endnote>
  <w:endnote w:type="continuationNotice" w:id="1">
    <w:p w:rsidR="002B6FB6" w:rsidRDefault="002B6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FE" w:rsidRDefault="00DC5BFE"/>
  <w:p w:rsidR="0029723D" w:rsidRDefault="0029723D"/>
  <w:p w:rsidR="00715136" w:rsidRPr="0009059F" w:rsidRDefault="00715136" w:rsidP="00C67062">
    <w:pPr>
      <w:pStyle w:val="Pidipagina"/>
      <w:jc w:val="right"/>
      <w:rPr>
        <w:rFonts w:ascii="Verdana" w:hAnsi="Verdana"/>
        <w:sz w:val="16"/>
        <w:szCs w:val="16"/>
      </w:rPr>
    </w:pPr>
    <w:r w:rsidRPr="0009059F">
      <w:rPr>
        <w:rFonts w:ascii="Verdana" w:hAnsi="Verdana"/>
        <w:sz w:val="16"/>
        <w:szCs w:val="16"/>
      </w:rPr>
      <w:fldChar w:fldCharType="begin"/>
    </w:r>
    <w:r w:rsidRPr="0009059F">
      <w:rPr>
        <w:rFonts w:ascii="Verdana" w:hAnsi="Verdana"/>
        <w:sz w:val="16"/>
        <w:szCs w:val="16"/>
      </w:rPr>
      <w:instrText xml:space="preserve"> PAGE   \* MERGEFORMAT </w:instrText>
    </w:r>
    <w:r w:rsidRPr="0009059F">
      <w:rPr>
        <w:rFonts w:ascii="Verdana" w:hAnsi="Verdana"/>
        <w:sz w:val="16"/>
        <w:szCs w:val="16"/>
      </w:rPr>
      <w:fldChar w:fldCharType="separate"/>
    </w:r>
    <w:r w:rsidR="00A26287">
      <w:rPr>
        <w:rFonts w:ascii="Verdana" w:hAnsi="Verdana"/>
        <w:noProof/>
        <w:sz w:val="16"/>
        <w:szCs w:val="16"/>
      </w:rPr>
      <w:t>17</w:t>
    </w:r>
    <w:r w:rsidRPr="0009059F">
      <w:rPr>
        <w:rFonts w:ascii="Verdana" w:hAnsi="Verdana"/>
        <w:noProof/>
        <w:sz w:val="16"/>
        <w:szCs w:val="16"/>
      </w:rPr>
      <w:fldChar w:fldCharType="end"/>
    </w:r>
  </w:p>
  <w:p w:rsidR="00715136" w:rsidRDefault="00715136">
    <w:pPr>
      <w:pStyle w:val="Pidipagina"/>
    </w:pPr>
  </w:p>
  <w:p w:rsidR="00672E1E" w:rsidRDefault="00672E1E"/>
  <w:p w:rsidR="00672E1E" w:rsidRDefault="00672E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B6" w:rsidRDefault="002B6FB6" w:rsidP="00F1326F">
      <w:r>
        <w:separator/>
      </w:r>
    </w:p>
  </w:footnote>
  <w:footnote w:type="continuationSeparator" w:id="0">
    <w:p w:rsidR="002B6FB6" w:rsidRDefault="002B6FB6" w:rsidP="00F1326F">
      <w:r>
        <w:continuationSeparator/>
      </w:r>
    </w:p>
  </w:footnote>
  <w:footnote w:type="continuationNotice" w:id="1">
    <w:p w:rsidR="002B6FB6" w:rsidRDefault="002B6FB6"/>
  </w:footnote>
  <w:footnote w:id="2">
    <w:p w:rsidR="0027139E" w:rsidRDefault="0027139E" w:rsidP="0027139E">
      <w:pPr>
        <w:pStyle w:val="Testonotaapidipagina"/>
      </w:pPr>
      <w:r>
        <w:rPr>
          <w:rStyle w:val="Rimandonotaapidipagina"/>
        </w:rPr>
        <w:footnoteRef/>
      </w:r>
      <w:r>
        <w:t xml:space="preserve"> Thereafter means management body as referred to in Article 88 of the Capital Requirements Directive 2013/36/EU.</w:t>
      </w:r>
    </w:p>
  </w:footnote>
  <w:footnote w:id="3">
    <w:p w:rsidR="0027139E" w:rsidRDefault="0027139E" w:rsidP="0027139E">
      <w:pPr>
        <w:pStyle w:val="Testonotaapidipagina"/>
      </w:pPr>
      <w:r>
        <w:rPr>
          <w:rStyle w:val="Rimandonotaapidipagina"/>
        </w:rPr>
        <w:footnoteRef/>
      </w:r>
      <w:r>
        <w:t xml:space="preserve"> Thereafter means to compare figures in the underlying do</w:t>
      </w:r>
      <w:r w:rsidR="00145DDC">
        <w:t xml:space="preserve">cuments with figures in the </w:t>
      </w:r>
      <w:r w:rsidR="00145DDC" w:rsidRPr="00271C6F">
        <w:rPr>
          <w:highlight w:val="yellow"/>
        </w:rPr>
        <w:t>2021</w:t>
      </w:r>
      <w:r>
        <w:t xml:space="preserve"> Reporting Form. </w:t>
      </w:r>
    </w:p>
  </w:footnote>
  <w:footnote w:id="4">
    <w:p w:rsidR="0027139E" w:rsidRDefault="0027139E" w:rsidP="0027139E">
      <w:pPr>
        <w:pStyle w:val="Testonotaapidipagina"/>
      </w:pPr>
      <w:r>
        <w:rPr>
          <w:rStyle w:val="Rimandonotaapidipagina"/>
        </w:rPr>
        <w:footnoteRef/>
      </w:r>
      <w:r>
        <w:t xml:space="preserve"> Thereafter means to re-perform the addition of figures in case an institution has performed a summation.</w:t>
      </w:r>
    </w:p>
  </w:footnote>
  <w:footnote w:id="5">
    <w:p w:rsidR="00B6342B" w:rsidRDefault="00B6342B" w:rsidP="00B6342B">
      <w:pPr>
        <w:pStyle w:val="Testonotaapidipagina"/>
      </w:pPr>
      <w:r>
        <w:rPr>
          <w:rStyle w:val="Rimandonotaapidipagina"/>
        </w:rPr>
        <w:footnoteRef/>
      </w:r>
      <w:r>
        <w:t xml:space="preserve"> As referred to in Article 88 of the Capital Requirements Directive 2013/36/EU.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06D" w:rsidRDefault="002B6FB6" w:rsidP="006521AD">
    <w:pPr>
      <w:pStyle w:val="Intestazione"/>
      <w:spacing w:before="120"/>
    </w:pPr>
    <w:r>
      <w:rPr>
        <w:noProof/>
        <w:lang w:val="it-IT" w:eastAsia="it-IT"/>
      </w:rPr>
      <w:drawing>
        <wp:anchor distT="0" distB="0" distL="114300" distR="114300" simplePos="0" relativeHeight="251657728" behindDoc="1" locked="0" layoutInCell="1" allowOverlap="1" wp14:editId="4950177C">
          <wp:simplePos x="0" y="0"/>
          <wp:positionH relativeFrom="margin">
            <wp:posOffset>-828040</wp:posOffset>
          </wp:positionH>
          <wp:positionV relativeFrom="margin">
            <wp:posOffset>-1420495</wp:posOffset>
          </wp:positionV>
          <wp:extent cx="7666355" cy="10658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974"/>
                  <a:stretch>
                    <a:fillRect/>
                  </a:stretch>
                </pic:blipFill>
                <pic:spPr bwMode="auto">
                  <a:xfrm>
                    <a:off x="0" y="0"/>
                    <a:ext cx="7666355" cy="1065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3B2" w:rsidRDefault="009753B2"/>
  <w:p w:rsidR="009753B2" w:rsidRDefault="009753B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5023"/>
    <w:multiLevelType w:val="multilevel"/>
    <w:tmpl w:val="BE36CF80"/>
    <w:lvl w:ilvl="0">
      <w:start w:val="1"/>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4420943"/>
    <w:multiLevelType w:val="hybridMultilevel"/>
    <w:tmpl w:val="F404FD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C5712B9"/>
    <w:multiLevelType w:val="hybridMultilevel"/>
    <w:tmpl w:val="9D123262"/>
    <w:lvl w:ilvl="0" w:tplc="03FAD6CA">
      <w:start w:val="1"/>
      <w:numFmt w:val="decimal"/>
      <w:lvlText w:val="(%1)"/>
      <w:lvlJc w:val="left"/>
      <w:pPr>
        <w:ind w:left="720" w:hanging="360"/>
      </w:pPr>
      <w:rPr>
        <w:rFonts w:ascii="Verdana" w:eastAsia="Times New Roman" w:hAnsi="Verdana" w:cs="Times New Roman" w:hint="default"/>
        <w:b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866FE"/>
    <w:multiLevelType w:val="hybridMultilevel"/>
    <w:tmpl w:val="FB044B24"/>
    <w:lvl w:ilvl="0" w:tplc="08090003">
      <w:start w:val="1"/>
      <w:numFmt w:val="bullet"/>
      <w:lvlText w:val="o"/>
      <w:lvlJc w:val="left"/>
      <w:pPr>
        <w:ind w:left="2136" w:hanging="360"/>
      </w:pPr>
      <w:rPr>
        <w:rFonts w:ascii="Courier New" w:hAnsi="Courier New" w:cs="Courier New" w:hint="default"/>
      </w:rPr>
    </w:lvl>
    <w:lvl w:ilvl="1" w:tplc="08090019">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4" w15:restartNumberingAfterBreak="0">
    <w:nsid w:val="0F7664DC"/>
    <w:multiLevelType w:val="hybridMultilevel"/>
    <w:tmpl w:val="33BE54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27A32"/>
    <w:multiLevelType w:val="hybridMultilevel"/>
    <w:tmpl w:val="64D48CA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C9411E"/>
    <w:multiLevelType w:val="hybridMultilevel"/>
    <w:tmpl w:val="97B69236"/>
    <w:lvl w:ilvl="0" w:tplc="838E756E">
      <w:start w:val="1"/>
      <w:numFmt w:val="bullet"/>
      <w:lvlText w:val=""/>
      <w:lvlJc w:val="left"/>
      <w:pPr>
        <w:tabs>
          <w:tab w:val="num" w:pos="720"/>
        </w:tabs>
        <w:ind w:left="720" w:hanging="360"/>
      </w:pPr>
      <w:rPr>
        <w:rFonts w:ascii="Wingdings" w:hAnsi="Wingdings" w:hint="default"/>
      </w:rPr>
    </w:lvl>
    <w:lvl w:ilvl="1" w:tplc="6326246A">
      <w:start w:val="1"/>
      <w:numFmt w:val="bullet"/>
      <w:lvlText w:val=""/>
      <w:lvlJc w:val="left"/>
      <w:pPr>
        <w:tabs>
          <w:tab w:val="num" w:pos="1440"/>
        </w:tabs>
        <w:ind w:left="1440" w:hanging="360"/>
      </w:pPr>
      <w:rPr>
        <w:rFonts w:ascii="Wingdings" w:hAnsi="Wingdings" w:hint="default"/>
      </w:rPr>
    </w:lvl>
    <w:lvl w:ilvl="2" w:tplc="7D022548" w:tentative="1">
      <w:start w:val="1"/>
      <w:numFmt w:val="bullet"/>
      <w:lvlText w:val=""/>
      <w:lvlJc w:val="left"/>
      <w:pPr>
        <w:tabs>
          <w:tab w:val="num" w:pos="2160"/>
        </w:tabs>
        <w:ind w:left="2160" w:hanging="360"/>
      </w:pPr>
      <w:rPr>
        <w:rFonts w:ascii="Wingdings" w:hAnsi="Wingdings" w:hint="default"/>
      </w:rPr>
    </w:lvl>
    <w:lvl w:ilvl="3" w:tplc="8C4E083C" w:tentative="1">
      <w:start w:val="1"/>
      <w:numFmt w:val="bullet"/>
      <w:lvlText w:val=""/>
      <w:lvlJc w:val="left"/>
      <w:pPr>
        <w:tabs>
          <w:tab w:val="num" w:pos="2880"/>
        </w:tabs>
        <w:ind w:left="2880" w:hanging="360"/>
      </w:pPr>
      <w:rPr>
        <w:rFonts w:ascii="Wingdings" w:hAnsi="Wingdings" w:hint="default"/>
      </w:rPr>
    </w:lvl>
    <w:lvl w:ilvl="4" w:tplc="4D869694" w:tentative="1">
      <w:start w:val="1"/>
      <w:numFmt w:val="bullet"/>
      <w:lvlText w:val=""/>
      <w:lvlJc w:val="left"/>
      <w:pPr>
        <w:tabs>
          <w:tab w:val="num" w:pos="3600"/>
        </w:tabs>
        <w:ind w:left="3600" w:hanging="360"/>
      </w:pPr>
      <w:rPr>
        <w:rFonts w:ascii="Wingdings" w:hAnsi="Wingdings" w:hint="default"/>
      </w:rPr>
    </w:lvl>
    <w:lvl w:ilvl="5" w:tplc="2CE6B91E" w:tentative="1">
      <w:start w:val="1"/>
      <w:numFmt w:val="bullet"/>
      <w:lvlText w:val=""/>
      <w:lvlJc w:val="left"/>
      <w:pPr>
        <w:tabs>
          <w:tab w:val="num" w:pos="4320"/>
        </w:tabs>
        <w:ind w:left="4320" w:hanging="360"/>
      </w:pPr>
      <w:rPr>
        <w:rFonts w:ascii="Wingdings" w:hAnsi="Wingdings" w:hint="default"/>
      </w:rPr>
    </w:lvl>
    <w:lvl w:ilvl="6" w:tplc="4E30F640" w:tentative="1">
      <w:start w:val="1"/>
      <w:numFmt w:val="bullet"/>
      <w:lvlText w:val=""/>
      <w:lvlJc w:val="left"/>
      <w:pPr>
        <w:tabs>
          <w:tab w:val="num" w:pos="5040"/>
        </w:tabs>
        <w:ind w:left="5040" w:hanging="360"/>
      </w:pPr>
      <w:rPr>
        <w:rFonts w:ascii="Wingdings" w:hAnsi="Wingdings" w:hint="default"/>
      </w:rPr>
    </w:lvl>
    <w:lvl w:ilvl="7" w:tplc="9886D1F0" w:tentative="1">
      <w:start w:val="1"/>
      <w:numFmt w:val="bullet"/>
      <w:lvlText w:val=""/>
      <w:lvlJc w:val="left"/>
      <w:pPr>
        <w:tabs>
          <w:tab w:val="num" w:pos="5760"/>
        </w:tabs>
        <w:ind w:left="5760" w:hanging="360"/>
      </w:pPr>
      <w:rPr>
        <w:rFonts w:ascii="Wingdings" w:hAnsi="Wingdings" w:hint="default"/>
      </w:rPr>
    </w:lvl>
    <w:lvl w:ilvl="8" w:tplc="A25E8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BF0D67"/>
    <w:multiLevelType w:val="hybridMultilevel"/>
    <w:tmpl w:val="9F04CE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6F26"/>
    <w:multiLevelType w:val="hybridMultilevel"/>
    <w:tmpl w:val="3B98BE4A"/>
    <w:lvl w:ilvl="0" w:tplc="8BC0AE1E">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44CA9"/>
    <w:multiLevelType w:val="hybridMultilevel"/>
    <w:tmpl w:val="5912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95AC8"/>
    <w:multiLevelType w:val="multilevel"/>
    <w:tmpl w:val="1B805A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Verdana" w:eastAsia="Times New Roman" w:hAnsi="Verdana" w:cs="Times New Roman"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1CE1FFE"/>
    <w:multiLevelType w:val="hybridMultilevel"/>
    <w:tmpl w:val="54F49A78"/>
    <w:lvl w:ilvl="0" w:tplc="6A5A561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A53B91"/>
    <w:multiLevelType w:val="hybridMultilevel"/>
    <w:tmpl w:val="EA0EC140"/>
    <w:lvl w:ilvl="0" w:tplc="08090001">
      <w:start w:val="1"/>
      <w:numFmt w:val="bullet"/>
      <w:lvlText w:val=""/>
      <w:lvlJc w:val="left"/>
      <w:pPr>
        <w:ind w:left="720" w:hanging="360"/>
      </w:pPr>
      <w:rPr>
        <w:rFonts w:ascii="Symbol" w:hAnsi="Symbol" w:hint="default"/>
      </w:rPr>
    </w:lvl>
    <w:lvl w:ilvl="1" w:tplc="19ECDF18">
      <w:start w:val="1"/>
      <w:numFmt w:val="decimal"/>
      <w:lvlText w:val="3.%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617D7"/>
    <w:multiLevelType w:val="hybridMultilevel"/>
    <w:tmpl w:val="6D8AE3B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C83B23"/>
    <w:multiLevelType w:val="hybridMultilevel"/>
    <w:tmpl w:val="BF34D54C"/>
    <w:lvl w:ilvl="0" w:tplc="0809001B">
      <w:start w:val="1"/>
      <w:numFmt w:val="lowerRoman"/>
      <w:lvlText w:val="%1."/>
      <w:lvlJc w:val="righ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EB3D3E"/>
    <w:multiLevelType w:val="hybridMultilevel"/>
    <w:tmpl w:val="EAAEB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2410F"/>
    <w:multiLevelType w:val="hybridMultilevel"/>
    <w:tmpl w:val="E4D4364C"/>
    <w:lvl w:ilvl="0" w:tplc="08090001">
      <w:start w:val="1"/>
      <w:numFmt w:val="bullet"/>
      <w:lvlText w:val=""/>
      <w:lvlJc w:val="left"/>
      <w:pPr>
        <w:ind w:left="720" w:hanging="360"/>
      </w:pPr>
      <w:rPr>
        <w:rFonts w:ascii="Symbol" w:hAnsi="Symbol" w:hint="default"/>
      </w:rPr>
    </w:lvl>
    <w:lvl w:ilvl="1" w:tplc="DCF071C4">
      <w:start w:val="1"/>
      <w:numFmt w:val="decimal"/>
      <w:lvlText w:val="(2.%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21F89"/>
    <w:multiLevelType w:val="hybridMultilevel"/>
    <w:tmpl w:val="10F83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3D54BE"/>
    <w:multiLevelType w:val="hybridMultilevel"/>
    <w:tmpl w:val="D49AD824"/>
    <w:lvl w:ilvl="0" w:tplc="0809000F">
      <w:start w:val="1"/>
      <w:numFmt w:val="decimal"/>
      <w:lvlText w:val="%1."/>
      <w:lvlJc w:val="left"/>
      <w:pPr>
        <w:ind w:left="50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E44262"/>
    <w:multiLevelType w:val="hybridMultilevel"/>
    <w:tmpl w:val="83E421BC"/>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93A214D0">
      <w:start w:val="1"/>
      <w:numFmt w:val="decimal"/>
      <w:lvlText w:val="%3."/>
      <w:lvlJc w:val="left"/>
      <w:pPr>
        <w:ind w:left="2160" w:hanging="360"/>
      </w:pPr>
      <w:rPr>
        <w:rFonts w:hint="default"/>
        <w:b/>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5327D"/>
    <w:multiLevelType w:val="hybridMultilevel"/>
    <w:tmpl w:val="9CC4920A"/>
    <w:lvl w:ilvl="0" w:tplc="DCF071C4">
      <w:start w:val="1"/>
      <w:numFmt w:val="decimal"/>
      <w:lvlText w:val="(2.%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42909CA"/>
    <w:multiLevelType w:val="hybridMultilevel"/>
    <w:tmpl w:val="BF8E4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666FB"/>
    <w:multiLevelType w:val="multilevel"/>
    <w:tmpl w:val="20A22D40"/>
    <w:lvl w:ilvl="0">
      <w:start w:val="1"/>
      <w:numFmt w:val="decimal"/>
      <w:pStyle w:val="Titolo1"/>
      <w:suff w:val="space"/>
      <w:lvlText w:val="%1."/>
      <w:lvlJc w:val="left"/>
      <w:pPr>
        <w:ind w:left="0" w:firstLine="0"/>
      </w:pPr>
      <w:rPr>
        <w:rFonts w:ascii="Verdana" w:hAnsi="Verdana" w:hint="default"/>
        <w:b/>
        <w:i w:val="0"/>
        <w:color w:val="0046AD"/>
        <w:sz w:val="28"/>
      </w:rPr>
    </w:lvl>
    <w:lvl w:ilvl="1">
      <w:start w:val="1"/>
      <w:numFmt w:val="decimal"/>
      <w:pStyle w:val="Titolo2"/>
      <w:suff w:val="space"/>
      <w:lvlText w:val="%1.%2."/>
      <w:lvlJc w:val="left"/>
      <w:pPr>
        <w:ind w:left="0" w:firstLine="0"/>
      </w:pPr>
      <w:rPr>
        <w:rFonts w:ascii="Verdana" w:hAnsi="Verdana" w:hint="default"/>
        <w:b/>
        <w:i w:val="0"/>
        <w:color w:val="0046AD"/>
        <w:sz w:val="24"/>
      </w:rPr>
    </w:lvl>
    <w:lvl w:ilvl="2">
      <w:start w:val="1"/>
      <w:numFmt w:val="decimal"/>
      <w:pStyle w:val="Titolo3"/>
      <w:suff w:val="space"/>
      <w:lvlText w:val="%1.%2.%3."/>
      <w:lvlJc w:val="left"/>
      <w:pPr>
        <w:ind w:left="0" w:firstLine="0"/>
      </w:pPr>
      <w:rPr>
        <w:rFonts w:ascii="Verdana" w:hAnsi="Verdana" w:hint="default"/>
        <w:b/>
        <w:i w:val="0"/>
        <w:color w:val="auto"/>
        <w:sz w:val="22"/>
      </w:rPr>
    </w:lvl>
    <w:lvl w:ilvl="3">
      <w:start w:val="1"/>
      <w:numFmt w:val="decimal"/>
      <w:pStyle w:val="Titolo4"/>
      <w:suff w:val="space"/>
      <w:lvlText w:val="%1.%2.%3.%4."/>
      <w:lvlJc w:val="left"/>
      <w:pPr>
        <w:ind w:left="0" w:firstLine="0"/>
      </w:pPr>
      <w:rPr>
        <w:rFonts w:ascii="Verdana" w:hAnsi="Verdana" w:hint="default"/>
        <w:b/>
        <w:i w:val="0"/>
        <w:sz w:val="22"/>
      </w:rPr>
    </w:lvl>
    <w:lvl w:ilvl="4">
      <w:start w:val="1"/>
      <w:numFmt w:val="decimal"/>
      <w:pStyle w:val="Titolo5"/>
      <w:suff w:val="space"/>
      <w:lvlText w:val="%1.%2.%3.%4.%5."/>
      <w:lvlJc w:val="left"/>
      <w:pPr>
        <w:ind w:left="0" w:firstLine="0"/>
      </w:pPr>
      <w:rPr>
        <w:rFonts w:ascii="Verdana" w:hAnsi="Verdana" w:hint="default"/>
        <w:b/>
        <w:i w:val="0"/>
        <w:color w:val="auto"/>
        <w:sz w:val="20"/>
      </w:rPr>
    </w:lvl>
    <w:lvl w:ilvl="5">
      <w:start w:val="1"/>
      <w:numFmt w:val="decimal"/>
      <w:pStyle w:val="Titolo6"/>
      <w:suff w:val="space"/>
      <w:lvlText w:val="%1.%2.%3.%4.%5.%6."/>
      <w:lvlJc w:val="left"/>
      <w:pPr>
        <w:ind w:left="0" w:firstLine="0"/>
      </w:pPr>
      <w:rPr>
        <w:rFonts w:ascii="Verdana" w:hAnsi="Verdana" w:hint="default"/>
        <w:b/>
        <w:i w:val="0"/>
        <w:color w:val="auto"/>
        <w:sz w:val="20"/>
      </w:rPr>
    </w:lvl>
    <w:lvl w:ilvl="6">
      <w:start w:val="1"/>
      <w:numFmt w:val="decimal"/>
      <w:pStyle w:val="Titolo7"/>
      <w:suff w:val="space"/>
      <w:lvlText w:val="%1.%2.%3.%4.%5.%6.%7."/>
      <w:lvlJc w:val="left"/>
      <w:pPr>
        <w:ind w:left="0" w:firstLine="0"/>
      </w:pPr>
      <w:rPr>
        <w:rFonts w:ascii="Verdana" w:hAnsi="Verdana" w:hint="default"/>
        <w:b/>
        <w:i w:val="0"/>
        <w:color w:val="auto"/>
        <w:sz w:val="20"/>
      </w:rPr>
    </w:lvl>
    <w:lvl w:ilvl="7">
      <w:start w:val="1"/>
      <w:numFmt w:val="decimal"/>
      <w:pStyle w:val="Titolo8"/>
      <w:suff w:val="space"/>
      <w:lvlText w:val="%1.%2.%3.%4.%5.%6.%7.%8."/>
      <w:lvlJc w:val="left"/>
      <w:pPr>
        <w:ind w:left="0" w:firstLine="0"/>
      </w:pPr>
      <w:rPr>
        <w:rFonts w:ascii="Verdana" w:hAnsi="Verdana" w:hint="default"/>
        <w:b/>
        <w:i w:val="0"/>
        <w:sz w:val="20"/>
      </w:rPr>
    </w:lvl>
    <w:lvl w:ilvl="8">
      <w:start w:val="1"/>
      <w:numFmt w:val="decimal"/>
      <w:pStyle w:val="Titolo9"/>
      <w:suff w:val="space"/>
      <w:lvlText w:val="%1.%2.%3.%4.%5.%6.%7.%8.%9."/>
      <w:lvlJc w:val="left"/>
      <w:pPr>
        <w:ind w:left="0" w:firstLine="0"/>
      </w:pPr>
      <w:rPr>
        <w:rFonts w:ascii="Verdana" w:hAnsi="Verdana" w:hint="default"/>
        <w:b/>
        <w:i w:val="0"/>
        <w:sz w:val="20"/>
      </w:rPr>
    </w:lvl>
  </w:abstractNum>
  <w:abstractNum w:abstractNumId="23" w15:restartNumberingAfterBreak="0">
    <w:nsid w:val="446D4E70"/>
    <w:multiLevelType w:val="hybridMultilevel"/>
    <w:tmpl w:val="E7B0E35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50C3E"/>
    <w:multiLevelType w:val="hybridMultilevel"/>
    <w:tmpl w:val="166EC3CA"/>
    <w:lvl w:ilvl="0" w:tplc="03FAD6CA">
      <w:start w:val="1"/>
      <w:numFmt w:val="decimal"/>
      <w:lvlText w:val="(%1)"/>
      <w:lvlJc w:val="left"/>
      <w:pPr>
        <w:ind w:left="720" w:hanging="360"/>
      </w:pPr>
      <w:rPr>
        <w:rFonts w:ascii="Verdana" w:eastAsia="Times New Roman" w:hAnsi="Verdana" w:cs="Times New Roman" w:hint="default"/>
        <w:b w:val="0"/>
        <w:sz w:val="20"/>
        <w:szCs w:val="20"/>
      </w:rPr>
    </w:lvl>
    <w:lvl w:ilvl="1" w:tplc="5EB84204">
      <w:start w:val="1"/>
      <w:numFmt w:val="decimal"/>
      <w:lvlText w:val="(1.%2)"/>
      <w:lvlJc w:val="left"/>
      <w:pPr>
        <w:ind w:left="1440" w:hanging="360"/>
      </w:pPr>
      <w:rPr>
        <w:rFonts w:ascii="Verdana" w:eastAsia="Times New Roman" w:hAnsi="Verdana" w:cs="Times New Roman" w:hint="default"/>
        <w:b w:val="0"/>
        <w:sz w:val="20"/>
        <w:szCs w:val="20"/>
      </w:rPr>
    </w:lvl>
    <w:lvl w:ilvl="2" w:tplc="2BB8BD86">
      <w:start w:val="1"/>
      <w:numFmt w:val="lowerRoman"/>
      <w:lvlText w:val="%3."/>
      <w:lvlJc w:val="right"/>
      <w:pPr>
        <w:ind w:left="2160" w:hanging="360"/>
      </w:pPr>
      <w:rPr>
        <w:rFonts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C2566"/>
    <w:multiLevelType w:val="hybridMultilevel"/>
    <w:tmpl w:val="B8CE37C6"/>
    <w:lvl w:ilvl="0" w:tplc="03FAD6CA">
      <w:start w:val="1"/>
      <w:numFmt w:val="decimal"/>
      <w:lvlText w:val="(%1)"/>
      <w:lvlJc w:val="left"/>
      <w:pPr>
        <w:ind w:left="720" w:hanging="360"/>
      </w:pPr>
      <w:rPr>
        <w:rFonts w:ascii="Verdana" w:eastAsia="Times New Roman" w:hAnsi="Verdana" w:cs="Times New Roman" w:hint="default"/>
        <w:b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65AC7"/>
    <w:multiLevelType w:val="multilevel"/>
    <w:tmpl w:val="72DCE5F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Verdana" w:eastAsia="Times New Roman" w:hAnsi="Verdana" w:cs="Times New Roman"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4BFC349B"/>
    <w:multiLevelType w:val="hybridMultilevel"/>
    <w:tmpl w:val="0FF6A926"/>
    <w:lvl w:ilvl="0" w:tplc="DCF071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277"/>
    <w:multiLevelType w:val="hybridMultilevel"/>
    <w:tmpl w:val="3CFE5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03D84"/>
    <w:multiLevelType w:val="hybridMultilevel"/>
    <w:tmpl w:val="628CF8D6"/>
    <w:lvl w:ilvl="0" w:tplc="E58A7370">
      <w:start w:val="1"/>
      <w:numFmt w:val="decimal"/>
      <w:lvlText w:val="(%1)"/>
      <w:lvlJc w:val="left"/>
      <w:pPr>
        <w:ind w:left="720" w:hanging="360"/>
      </w:pPr>
      <w:rPr>
        <w:rFonts w:ascii="Verdana" w:eastAsia="Times New Roman" w:hAnsi="Verdana" w:cs="Times New Roman"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D0FEF"/>
    <w:multiLevelType w:val="hybridMultilevel"/>
    <w:tmpl w:val="0E4CC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F3CC1"/>
    <w:multiLevelType w:val="hybridMultilevel"/>
    <w:tmpl w:val="03A4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F640E"/>
    <w:multiLevelType w:val="hybridMultilevel"/>
    <w:tmpl w:val="6950A2D6"/>
    <w:lvl w:ilvl="0" w:tplc="98A4318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9522E4"/>
    <w:multiLevelType w:val="multilevel"/>
    <w:tmpl w:val="0816001D"/>
    <w:styleLink w:val="Style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3466C2"/>
    <w:multiLevelType w:val="hybridMultilevel"/>
    <w:tmpl w:val="077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D5520"/>
    <w:multiLevelType w:val="hybridMultilevel"/>
    <w:tmpl w:val="36B06698"/>
    <w:lvl w:ilvl="0" w:tplc="03FAD6CA">
      <w:start w:val="1"/>
      <w:numFmt w:val="decimal"/>
      <w:lvlText w:val="(%1)"/>
      <w:lvlJc w:val="left"/>
      <w:pPr>
        <w:ind w:left="720" w:hanging="360"/>
      </w:pPr>
      <w:rPr>
        <w:rFonts w:ascii="Verdana" w:eastAsia="Times New Roman" w:hAnsi="Verdana" w:cs="Times New Roman" w:hint="default"/>
        <w:b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947FF"/>
    <w:multiLevelType w:val="multilevel"/>
    <w:tmpl w:val="A196902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7560B4"/>
    <w:multiLevelType w:val="hybridMultilevel"/>
    <w:tmpl w:val="B14AFE84"/>
    <w:lvl w:ilvl="0" w:tplc="03FAD6CA">
      <w:start w:val="1"/>
      <w:numFmt w:val="decimal"/>
      <w:lvlText w:val="(%1)"/>
      <w:lvlJc w:val="left"/>
      <w:pPr>
        <w:ind w:left="720" w:hanging="360"/>
      </w:pPr>
      <w:rPr>
        <w:rFonts w:ascii="Verdana" w:eastAsia="Times New Roman" w:hAnsi="Verdana" w:cs="Times New Roman" w:hint="default"/>
        <w:b w:val="0"/>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7415A"/>
    <w:multiLevelType w:val="hybridMultilevel"/>
    <w:tmpl w:val="04FC88F4"/>
    <w:lvl w:ilvl="0" w:tplc="6512E3EA">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421278"/>
    <w:multiLevelType w:val="hybridMultilevel"/>
    <w:tmpl w:val="8A26550A"/>
    <w:lvl w:ilvl="0" w:tplc="0809001B">
      <w:start w:val="1"/>
      <w:numFmt w:val="lowerRoman"/>
      <w:lvlText w:val="%1."/>
      <w:lvlJc w:val="right"/>
      <w:pPr>
        <w:ind w:left="360" w:hanging="360"/>
      </w:pPr>
      <w:rPr>
        <w:rFonts w:hint="default"/>
      </w:rPr>
    </w:lvl>
    <w:lvl w:ilvl="1" w:tplc="19ECDF18">
      <w:start w:val="1"/>
      <w:numFmt w:val="decimal"/>
      <w:lvlText w:val="3.%2"/>
      <w:lvlJc w:val="left"/>
      <w:pPr>
        <w:ind w:left="1080" w:hanging="360"/>
      </w:pPr>
      <w:rPr>
        <w:rFonts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916C2A"/>
    <w:multiLevelType w:val="multilevel"/>
    <w:tmpl w:val="72DCE5F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Verdana" w:eastAsia="Times New Roman" w:hAnsi="Verdana" w:cs="Times New Roman" w:hint="default"/>
        <w:b w:val="0"/>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707C1C42"/>
    <w:multiLevelType w:val="hybridMultilevel"/>
    <w:tmpl w:val="98D47E10"/>
    <w:lvl w:ilvl="0" w:tplc="0809001B">
      <w:start w:val="1"/>
      <w:numFmt w:val="lowerRoman"/>
      <w:lvlText w:val="%1."/>
      <w:lvlJc w:val="right"/>
      <w:pPr>
        <w:ind w:left="720" w:hanging="360"/>
      </w:pPr>
      <w:rPr>
        <w:rFonts w:hint="default"/>
        <w:b w:val="0"/>
        <w:sz w:val="20"/>
        <w:szCs w:val="20"/>
      </w:rPr>
    </w:lvl>
    <w:lvl w:ilvl="1" w:tplc="5EB84204">
      <w:start w:val="1"/>
      <w:numFmt w:val="decimal"/>
      <w:lvlText w:val="(1.%2)"/>
      <w:lvlJc w:val="left"/>
      <w:pPr>
        <w:ind w:left="1440" w:hanging="360"/>
      </w:pPr>
      <w:rPr>
        <w:rFonts w:ascii="Verdana" w:eastAsia="Times New Roman" w:hAnsi="Verdana" w:cs="Times New Roman" w:hint="default"/>
        <w:b w:val="0"/>
        <w:sz w:val="20"/>
        <w:szCs w:val="20"/>
      </w:rPr>
    </w:lvl>
    <w:lvl w:ilvl="2" w:tplc="2BB8BD86">
      <w:start w:val="1"/>
      <w:numFmt w:val="lowerRoman"/>
      <w:lvlText w:val="%3."/>
      <w:lvlJc w:val="right"/>
      <w:pPr>
        <w:ind w:left="2160" w:hanging="360"/>
      </w:pPr>
      <w:rPr>
        <w:rFonts w:hint="default"/>
        <w:b w:val="0"/>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3657C6"/>
    <w:multiLevelType w:val="hybridMultilevel"/>
    <w:tmpl w:val="292602B2"/>
    <w:lvl w:ilvl="0" w:tplc="E58A7370">
      <w:start w:val="1"/>
      <w:numFmt w:val="decimal"/>
      <w:lvlText w:val="(%1)"/>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A24A76"/>
    <w:multiLevelType w:val="hybridMultilevel"/>
    <w:tmpl w:val="6ACED9B2"/>
    <w:lvl w:ilvl="0" w:tplc="05E209B0">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71203B"/>
    <w:multiLevelType w:val="hybridMultilevel"/>
    <w:tmpl w:val="8CB6B352"/>
    <w:lvl w:ilvl="0" w:tplc="17FECF90">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7CD42944"/>
    <w:multiLevelType w:val="hybridMultilevel"/>
    <w:tmpl w:val="9184E3C2"/>
    <w:lvl w:ilvl="0" w:tplc="3A0417FC">
      <w:start w:val="1"/>
      <w:numFmt w:val="bullet"/>
      <w:lvlText w:val="•"/>
      <w:lvlJc w:val="left"/>
      <w:pPr>
        <w:tabs>
          <w:tab w:val="num" w:pos="720"/>
        </w:tabs>
        <w:ind w:left="720" w:hanging="360"/>
      </w:pPr>
      <w:rPr>
        <w:rFonts w:ascii="Arial" w:hAnsi="Arial" w:hint="default"/>
      </w:rPr>
    </w:lvl>
    <w:lvl w:ilvl="1" w:tplc="95183526" w:tentative="1">
      <w:start w:val="1"/>
      <w:numFmt w:val="bullet"/>
      <w:lvlText w:val="•"/>
      <w:lvlJc w:val="left"/>
      <w:pPr>
        <w:tabs>
          <w:tab w:val="num" w:pos="1440"/>
        </w:tabs>
        <w:ind w:left="1440" w:hanging="360"/>
      </w:pPr>
      <w:rPr>
        <w:rFonts w:ascii="Arial" w:hAnsi="Arial" w:hint="default"/>
      </w:rPr>
    </w:lvl>
    <w:lvl w:ilvl="2" w:tplc="5E10E340" w:tentative="1">
      <w:start w:val="1"/>
      <w:numFmt w:val="bullet"/>
      <w:lvlText w:val="•"/>
      <w:lvlJc w:val="left"/>
      <w:pPr>
        <w:tabs>
          <w:tab w:val="num" w:pos="2160"/>
        </w:tabs>
        <w:ind w:left="2160" w:hanging="360"/>
      </w:pPr>
      <w:rPr>
        <w:rFonts w:ascii="Arial" w:hAnsi="Arial" w:hint="default"/>
      </w:rPr>
    </w:lvl>
    <w:lvl w:ilvl="3" w:tplc="A94AED10" w:tentative="1">
      <w:start w:val="1"/>
      <w:numFmt w:val="bullet"/>
      <w:lvlText w:val="•"/>
      <w:lvlJc w:val="left"/>
      <w:pPr>
        <w:tabs>
          <w:tab w:val="num" w:pos="2880"/>
        </w:tabs>
        <w:ind w:left="2880" w:hanging="360"/>
      </w:pPr>
      <w:rPr>
        <w:rFonts w:ascii="Arial" w:hAnsi="Arial" w:hint="default"/>
      </w:rPr>
    </w:lvl>
    <w:lvl w:ilvl="4" w:tplc="1898D388" w:tentative="1">
      <w:start w:val="1"/>
      <w:numFmt w:val="bullet"/>
      <w:lvlText w:val="•"/>
      <w:lvlJc w:val="left"/>
      <w:pPr>
        <w:tabs>
          <w:tab w:val="num" w:pos="3600"/>
        </w:tabs>
        <w:ind w:left="3600" w:hanging="360"/>
      </w:pPr>
      <w:rPr>
        <w:rFonts w:ascii="Arial" w:hAnsi="Arial" w:hint="default"/>
      </w:rPr>
    </w:lvl>
    <w:lvl w:ilvl="5" w:tplc="B810BD22" w:tentative="1">
      <w:start w:val="1"/>
      <w:numFmt w:val="bullet"/>
      <w:lvlText w:val="•"/>
      <w:lvlJc w:val="left"/>
      <w:pPr>
        <w:tabs>
          <w:tab w:val="num" w:pos="4320"/>
        </w:tabs>
        <w:ind w:left="4320" w:hanging="360"/>
      </w:pPr>
      <w:rPr>
        <w:rFonts w:ascii="Arial" w:hAnsi="Arial" w:hint="default"/>
      </w:rPr>
    </w:lvl>
    <w:lvl w:ilvl="6" w:tplc="5D748AAE" w:tentative="1">
      <w:start w:val="1"/>
      <w:numFmt w:val="bullet"/>
      <w:lvlText w:val="•"/>
      <w:lvlJc w:val="left"/>
      <w:pPr>
        <w:tabs>
          <w:tab w:val="num" w:pos="5040"/>
        </w:tabs>
        <w:ind w:left="5040" w:hanging="360"/>
      </w:pPr>
      <w:rPr>
        <w:rFonts w:ascii="Arial" w:hAnsi="Arial" w:hint="default"/>
      </w:rPr>
    </w:lvl>
    <w:lvl w:ilvl="7" w:tplc="B504F26A" w:tentative="1">
      <w:start w:val="1"/>
      <w:numFmt w:val="bullet"/>
      <w:lvlText w:val="•"/>
      <w:lvlJc w:val="left"/>
      <w:pPr>
        <w:tabs>
          <w:tab w:val="num" w:pos="5760"/>
        </w:tabs>
        <w:ind w:left="5760" w:hanging="360"/>
      </w:pPr>
      <w:rPr>
        <w:rFonts w:ascii="Arial" w:hAnsi="Arial" w:hint="default"/>
      </w:rPr>
    </w:lvl>
    <w:lvl w:ilvl="8" w:tplc="4F108E4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7825E8"/>
    <w:multiLevelType w:val="hybridMultilevel"/>
    <w:tmpl w:val="FF06281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2"/>
  </w:num>
  <w:num w:numId="2">
    <w:abstractNumId w:val="33"/>
  </w:num>
  <w:num w:numId="3">
    <w:abstractNumId w:val="38"/>
  </w:num>
  <w:num w:numId="4">
    <w:abstractNumId w:val="9"/>
  </w:num>
  <w:num w:numId="5">
    <w:abstractNumId w:val="45"/>
  </w:num>
  <w:num w:numId="6">
    <w:abstractNumId w:val="43"/>
  </w:num>
  <w:num w:numId="7">
    <w:abstractNumId w:val="31"/>
  </w:num>
  <w:num w:numId="8">
    <w:abstractNumId w:val="34"/>
  </w:num>
  <w:num w:numId="9">
    <w:abstractNumId w:val="36"/>
  </w:num>
  <w:num w:numId="10">
    <w:abstractNumId w:val="30"/>
  </w:num>
  <w:num w:numId="11">
    <w:abstractNumId w:val="5"/>
  </w:num>
  <w:num w:numId="12">
    <w:abstractNumId w:val="19"/>
  </w:num>
  <w:num w:numId="13">
    <w:abstractNumId w:val="42"/>
    <w:lvlOverride w:ilvl="0">
      <w:startOverride w:val="1"/>
    </w:lvlOverride>
    <w:lvlOverride w:ilvl="1"/>
    <w:lvlOverride w:ilvl="2"/>
    <w:lvlOverride w:ilvl="3"/>
    <w:lvlOverride w:ilvl="4"/>
    <w:lvlOverride w:ilvl="5"/>
    <w:lvlOverride w:ilvl="6"/>
    <w:lvlOverride w:ilvl="7"/>
    <w:lvlOverride w:ilvl="8"/>
  </w:num>
  <w:num w:numId="14">
    <w:abstractNumId w:val="37"/>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4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lvlOverride w:ilvl="3"/>
    <w:lvlOverride w:ilvl="4"/>
    <w:lvlOverride w:ilvl="5"/>
    <w:lvlOverride w:ilvl="6"/>
    <w:lvlOverride w:ilvl="7"/>
    <w:lvlOverride w:ilvl="8"/>
  </w:num>
  <w:num w:numId="27">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8">
    <w:abstractNumId w:val="15"/>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
  </w:num>
  <w:num w:numId="35">
    <w:abstractNumId w:val="41"/>
  </w:num>
  <w:num w:numId="36">
    <w:abstractNumId w:val="18"/>
  </w:num>
  <w:num w:numId="37">
    <w:abstractNumId w:val="14"/>
  </w:num>
  <w:num w:numId="38">
    <w:abstractNumId w:val="39"/>
  </w:num>
  <w:num w:numId="39">
    <w:abstractNumId w:val="4"/>
  </w:num>
  <w:num w:numId="40">
    <w:abstractNumId w:val="7"/>
  </w:num>
  <w:num w:numId="41">
    <w:abstractNumId w:val="44"/>
  </w:num>
  <w:num w:numId="42">
    <w:abstractNumId w:val="2"/>
  </w:num>
  <w:num w:numId="43">
    <w:abstractNumId w:val="26"/>
  </w:num>
  <w:num w:numId="44">
    <w:abstractNumId w:val="1"/>
  </w:num>
  <w:num w:numId="45">
    <w:abstractNumId w:val="8"/>
  </w:num>
  <w:num w:numId="46">
    <w:abstractNumId w:val="6"/>
  </w:num>
  <w:num w:numId="47">
    <w:abstractNumId w:val="32"/>
  </w:num>
  <w:num w:numId="48">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63"/>
    <w:rsid w:val="00000B13"/>
    <w:rsid w:val="00005958"/>
    <w:rsid w:val="000059E2"/>
    <w:rsid w:val="000124AD"/>
    <w:rsid w:val="00015A22"/>
    <w:rsid w:val="00024A5D"/>
    <w:rsid w:val="00030ED6"/>
    <w:rsid w:val="000310FE"/>
    <w:rsid w:val="00032C14"/>
    <w:rsid w:val="00035152"/>
    <w:rsid w:val="00043A86"/>
    <w:rsid w:val="0004480B"/>
    <w:rsid w:val="00046EE8"/>
    <w:rsid w:val="0005099F"/>
    <w:rsid w:val="0005511B"/>
    <w:rsid w:val="000568CF"/>
    <w:rsid w:val="00064B49"/>
    <w:rsid w:val="00065A29"/>
    <w:rsid w:val="0006697E"/>
    <w:rsid w:val="0007051D"/>
    <w:rsid w:val="000713BC"/>
    <w:rsid w:val="0007565D"/>
    <w:rsid w:val="000765B7"/>
    <w:rsid w:val="00076F43"/>
    <w:rsid w:val="000808CA"/>
    <w:rsid w:val="0009059F"/>
    <w:rsid w:val="0009080D"/>
    <w:rsid w:val="000922F7"/>
    <w:rsid w:val="0009523C"/>
    <w:rsid w:val="00096FD5"/>
    <w:rsid w:val="000A10B9"/>
    <w:rsid w:val="000A1D03"/>
    <w:rsid w:val="000A2B9D"/>
    <w:rsid w:val="000A768C"/>
    <w:rsid w:val="000B28C1"/>
    <w:rsid w:val="000B4B21"/>
    <w:rsid w:val="000C2CA7"/>
    <w:rsid w:val="000D51FD"/>
    <w:rsid w:val="000D693A"/>
    <w:rsid w:val="000E4370"/>
    <w:rsid w:val="000F1716"/>
    <w:rsid w:val="000F3F10"/>
    <w:rsid w:val="000F4003"/>
    <w:rsid w:val="00112F4D"/>
    <w:rsid w:val="001217B1"/>
    <w:rsid w:val="00121FED"/>
    <w:rsid w:val="001232BC"/>
    <w:rsid w:val="001249EE"/>
    <w:rsid w:val="001271FC"/>
    <w:rsid w:val="0013112B"/>
    <w:rsid w:val="00131E26"/>
    <w:rsid w:val="00145DDC"/>
    <w:rsid w:val="0014667A"/>
    <w:rsid w:val="00151906"/>
    <w:rsid w:val="00151D50"/>
    <w:rsid w:val="001547E5"/>
    <w:rsid w:val="001651A2"/>
    <w:rsid w:val="001653E2"/>
    <w:rsid w:val="00172D5C"/>
    <w:rsid w:val="00172FA4"/>
    <w:rsid w:val="00182212"/>
    <w:rsid w:val="001838D0"/>
    <w:rsid w:val="00184CDD"/>
    <w:rsid w:val="0019014F"/>
    <w:rsid w:val="0019072B"/>
    <w:rsid w:val="00190E1A"/>
    <w:rsid w:val="00191A0C"/>
    <w:rsid w:val="001930DF"/>
    <w:rsid w:val="00194627"/>
    <w:rsid w:val="0019622A"/>
    <w:rsid w:val="00197578"/>
    <w:rsid w:val="001A4156"/>
    <w:rsid w:val="001A4708"/>
    <w:rsid w:val="001A74CC"/>
    <w:rsid w:val="001A7AD0"/>
    <w:rsid w:val="001C1828"/>
    <w:rsid w:val="001C35E6"/>
    <w:rsid w:val="001C3EF6"/>
    <w:rsid w:val="001C4715"/>
    <w:rsid w:val="001D143D"/>
    <w:rsid w:val="001D2956"/>
    <w:rsid w:val="001D6856"/>
    <w:rsid w:val="001D6FCB"/>
    <w:rsid w:val="001D744D"/>
    <w:rsid w:val="001E1AC9"/>
    <w:rsid w:val="001F0ED0"/>
    <w:rsid w:val="001F715F"/>
    <w:rsid w:val="002008B7"/>
    <w:rsid w:val="00200D55"/>
    <w:rsid w:val="002013B3"/>
    <w:rsid w:val="002033C9"/>
    <w:rsid w:val="002054E1"/>
    <w:rsid w:val="002063B7"/>
    <w:rsid w:val="00207028"/>
    <w:rsid w:val="002137BC"/>
    <w:rsid w:val="00221138"/>
    <w:rsid w:val="00223A3D"/>
    <w:rsid w:val="00225019"/>
    <w:rsid w:val="002270A4"/>
    <w:rsid w:val="0022736A"/>
    <w:rsid w:val="002318B5"/>
    <w:rsid w:val="00234009"/>
    <w:rsid w:val="0024494B"/>
    <w:rsid w:val="00245275"/>
    <w:rsid w:val="00246E78"/>
    <w:rsid w:val="002475FE"/>
    <w:rsid w:val="00256814"/>
    <w:rsid w:val="00257013"/>
    <w:rsid w:val="00263476"/>
    <w:rsid w:val="0026642A"/>
    <w:rsid w:val="00267EEF"/>
    <w:rsid w:val="0027010F"/>
    <w:rsid w:val="00270C98"/>
    <w:rsid w:val="0027139E"/>
    <w:rsid w:val="00271C6F"/>
    <w:rsid w:val="002735EB"/>
    <w:rsid w:val="00275AFE"/>
    <w:rsid w:val="00280C94"/>
    <w:rsid w:val="00282384"/>
    <w:rsid w:val="00283882"/>
    <w:rsid w:val="00292313"/>
    <w:rsid w:val="002924CE"/>
    <w:rsid w:val="0029521A"/>
    <w:rsid w:val="0029723D"/>
    <w:rsid w:val="002A7627"/>
    <w:rsid w:val="002B6FB6"/>
    <w:rsid w:val="002C1818"/>
    <w:rsid w:val="002C2C5A"/>
    <w:rsid w:val="002C3EFE"/>
    <w:rsid w:val="002C5FDE"/>
    <w:rsid w:val="002D1834"/>
    <w:rsid w:val="002D28E0"/>
    <w:rsid w:val="002D30AE"/>
    <w:rsid w:val="002D4039"/>
    <w:rsid w:val="002D4EFE"/>
    <w:rsid w:val="002D5196"/>
    <w:rsid w:val="002E02D6"/>
    <w:rsid w:val="002E2F3D"/>
    <w:rsid w:val="002E3323"/>
    <w:rsid w:val="002E763F"/>
    <w:rsid w:val="002F1987"/>
    <w:rsid w:val="002F418C"/>
    <w:rsid w:val="002F6F9E"/>
    <w:rsid w:val="00300A5F"/>
    <w:rsid w:val="00302DB0"/>
    <w:rsid w:val="00306E52"/>
    <w:rsid w:val="003100B3"/>
    <w:rsid w:val="00312766"/>
    <w:rsid w:val="003131A0"/>
    <w:rsid w:val="00321007"/>
    <w:rsid w:val="003220D7"/>
    <w:rsid w:val="00323E6E"/>
    <w:rsid w:val="00326DA3"/>
    <w:rsid w:val="003343D6"/>
    <w:rsid w:val="00337512"/>
    <w:rsid w:val="0033799C"/>
    <w:rsid w:val="00343C98"/>
    <w:rsid w:val="00346426"/>
    <w:rsid w:val="003511DF"/>
    <w:rsid w:val="0035391F"/>
    <w:rsid w:val="00353DCB"/>
    <w:rsid w:val="00354CBF"/>
    <w:rsid w:val="00367BB2"/>
    <w:rsid w:val="0037107F"/>
    <w:rsid w:val="003722A7"/>
    <w:rsid w:val="0037639D"/>
    <w:rsid w:val="00381A86"/>
    <w:rsid w:val="00385E29"/>
    <w:rsid w:val="00387EAB"/>
    <w:rsid w:val="00390230"/>
    <w:rsid w:val="0039350B"/>
    <w:rsid w:val="00394C07"/>
    <w:rsid w:val="00395644"/>
    <w:rsid w:val="003962AE"/>
    <w:rsid w:val="00397E81"/>
    <w:rsid w:val="003A0ABA"/>
    <w:rsid w:val="003A5803"/>
    <w:rsid w:val="003B1D76"/>
    <w:rsid w:val="003B3427"/>
    <w:rsid w:val="003C2C2B"/>
    <w:rsid w:val="003C3122"/>
    <w:rsid w:val="003D1DF6"/>
    <w:rsid w:val="003D4846"/>
    <w:rsid w:val="003E48EC"/>
    <w:rsid w:val="003E52D6"/>
    <w:rsid w:val="003F25BF"/>
    <w:rsid w:val="003F65A1"/>
    <w:rsid w:val="0040060C"/>
    <w:rsid w:val="0040552B"/>
    <w:rsid w:val="004055C9"/>
    <w:rsid w:val="00407ADB"/>
    <w:rsid w:val="00410283"/>
    <w:rsid w:val="00410887"/>
    <w:rsid w:val="0041514B"/>
    <w:rsid w:val="00420467"/>
    <w:rsid w:val="004209FB"/>
    <w:rsid w:val="004228F6"/>
    <w:rsid w:val="004279D9"/>
    <w:rsid w:val="00430529"/>
    <w:rsid w:val="0043281D"/>
    <w:rsid w:val="004333A2"/>
    <w:rsid w:val="004346F0"/>
    <w:rsid w:val="004353F3"/>
    <w:rsid w:val="004373D9"/>
    <w:rsid w:val="00442CDD"/>
    <w:rsid w:val="004448C9"/>
    <w:rsid w:val="00444BDB"/>
    <w:rsid w:val="00445E28"/>
    <w:rsid w:val="00451127"/>
    <w:rsid w:val="004551CA"/>
    <w:rsid w:val="00462756"/>
    <w:rsid w:val="0047111B"/>
    <w:rsid w:val="00471737"/>
    <w:rsid w:val="00473DF5"/>
    <w:rsid w:val="00476443"/>
    <w:rsid w:val="00480887"/>
    <w:rsid w:val="0048325E"/>
    <w:rsid w:val="00485CB8"/>
    <w:rsid w:val="004864B1"/>
    <w:rsid w:val="00494AE2"/>
    <w:rsid w:val="0049517F"/>
    <w:rsid w:val="004B3440"/>
    <w:rsid w:val="004E1243"/>
    <w:rsid w:val="004E5395"/>
    <w:rsid w:val="004E6ACD"/>
    <w:rsid w:val="004F7CDF"/>
    <w:rsid w:val="00506771"/>
    <w:rsid w:val="00511667"/>
    <w:rsid w:val="00512216"/>
    <w:rsid w:val="00523B0C"/>
    <w:rsid w:val="00530ED2"/>
    <w:rsid w:val="00544782"/>
    <w:rsid w:val="00545689"/>
    <w:rsid w:val="00547F94"/>
    <w:rsid w:val="00551BE1"/>
    <w:rsid w:val="005536D0"/>
    <w:rsid w:val="005554A2"/>
    <w:rsid w:val="00560F87"/>
    <w:rsid w:val="00561419"/>
    <w:rsid w:val="00565840"/>
    <w:rsid w:val="00573517"/>
    <w:rsid w:val="005824CC"/>
    <w:rsid w:val="00582A34"/>
    <w:rsid w:val="005846E1"/>
    <w:rsid w:val="00586165"/>
    <w:rsid w:val="00586B59"/>
    <w:rsid w:val="005972EA"/>
    <w:rsid w:val="005A0664"/>
    <w:rsid w:val="005A161D"/>
    <w:rsid w:val="005B09A1"/>
    <w:rsid w:val="005B1224"/>
    <w:rsid w:val="005B2116"/>
    <w:rsid w:val="005B3E8C"/>
    <w:rsid w:val="005B6229"/>
    <w:rsid w:val="005D296F"/>
    <w:rsid w:val="005D67DF"/>
    <w:rsid w:val="005D7D9A"/>
    <w:rsid w:val="005E34F5"/>
    <w:rsid w:val="005E4FB7"/>
    <w:rsid w:val="005E52FA"/>
    <w:rsid w:val="005E73D9"/>
    <w:rsid w:val="005F2EFC"/>
    <w:rsid w:val="005F3A9A"/>
    <w:rsid w:val="005F52A9"/>
    <w:rsid w:val="005F6C76"/>
    <w:rsid w:val="00600C11"/>
    <w:rsid w:val="00602821"/>
    <w:rsid w:val="00605634"/>
    <w:rsid w:val="006074AC"/>
    <w:rsid w:val="00607B31"/>
    <w:rsid w:val="00607F20"/>
    <w:rsid w:val="00620B97"/>
    <w:rsid w:val="00621BC8"/>
    <w:rsid w:val="0062206D"/>
    <w:rsid w:val="00625F7D"/>
    <w:rsid w:val="00626A05"/>
    <w:rsid w:val="00626E48"/>
    <w:rsid w:val="00636178"/>
    <w:rsid w:val="00637C0F"/>
    <w:rsid w:val="006406AA"/>
    <w:rsid w:val="006521AD"/>
    <w:rsid w:val="006533EF"/>
    <w:rsid w:val="00653D04"/>
    <w:rsid w:val="006605CC"/>
    <w:rsid w:val="006616E3"/>
    <w:rsid w:val="00672E1E"/>
    <w:rsid w:val="00673819"/>
    <w:rsid w:val="00673966"/>
    <w:rsid w:val="00675EBB"/>
    <w:rsid w:val="00676FD6"/>
    <w:rsid w:val="006855FE"/>
    <w:rsid w:val="00685E66"/>
    <w:rsid w:val="006A1863"/>
    <w:rsid w:val="006B21C5"/>
    <w:rsid w:val="006C56AE"/>
    <w:rsid w:val="006C6896"/>
    <w:rsid w:val="006C7A24"/>
    <w:rsid w:val="006C7CF4"/>
    <w:rsid w:val="006D0506"/>
    <w:rsid w:val="006D1110"/>
    <w:rsid w:val="006E1AA3"/>
    <w:rsid w:val="006E5458"/>
    <w:rsid w:val="006E7720"/>
    <w:rsid w:val="006F1633"/>
    <w:rsid w:val="006F3276"/>
    <w:rsid w:val="0070414E"/>
    <w:rsid w:val="00704827"/>
    <w:rsid w:val="00706729"/>
    <w:rsid w:val="00711DEA"/>
    <w:rsid w:val="00713F5C"/>
    <w:rsid w:val="00715136"/>
    <w:rsid w:val="00715396"/>
    <w:rsid w:val="00721E0D"/>
    <w:rsid w:val="00727C6A"/>
    <w:rsid w:val="0073035F"/>
    <w:rsid w:val="00731F62"/>
    <w:rsid w:val="007378F3"/>
    <w:rsid w:val="007426E7"/>
    <w:rsid w:val="00746BDA"/>
    <w:rsid w:val="007474BB"/>
    <w:rsid w:val="0075530B"/>
    <w:rsid w:val="00763914"/>
    <w:rsid w:val="0077349D"/>
    <w:rsid w:val="00782E6C"/>
    <w:rsid w:val="0078420E"/>
    <w:rsid w:val="007946E2"/>
    <w:rsid w:val="007962BD"/>
    <w:rsid w:val="007A1E91"/>
    <w:rsid w:val="007A3216"/>
    <w:rsid w:val="007A601C"/>
    <w:rsid w:val="007B1BAF"/>
    <w:rsid w:val="007B2D0F"/>
    <w:rsid w:val="007C0E69"/>
    <w:rsid w:val="007D35B7"/>
    <w:rsid w:val="007D7944"/>
    <w:rsid w:val="007E2E42"/>
    <w:rsid w:val="007E5D0D"/>
    <w:rsid w:val="007E7BBE"/>
    <w:rsid w:val="007E7C29"/>
    <w:rsid w:val="0080490B"/>
    <w:rsid w:val="00804B1C"/>
    <w:rsid w:val="008113F2"/>
    <w:rsid w:val="00813513"/>
    <w:rsid w:val="00820FBE"/>
    <w:rsid w:val="00830A5F"/>
    <w:rsid w:val="0083224B"/>
    <w:rsid w:val="00836FB2"/>
    <w:rsid w:val="00837FF8"/>
    <w:rsid w:val="00845AD5"/>
    <w:rsid w:val="008578C6"/>
    <w:rsid w:val="00857EEC"/>
    <w:rsid w:val="0086213D"/>
    <w:rsid w:val="008626F8"/>
    <w:rsid w:val="00864FDE"/>
    <w:rsid w:val="008743BC"/>
    <w:rsid w:val="00875A1B"/>
    <w:rsid w:val="008778DE"/>
    <w:rsid w:val="00881CD5"/>
    <w:rsid w:val="00887AB7"/>
    <w:rsid w:val="008923D4"/>
    <w:rsid w:val="00893233"/>
    <w:rsid w:val="008A237A"/>
    <w:rsid w:val="008A33B5"/>
    <w:rsid w:val="008B29F1"/>
    <w:rsid w:val="008B5641"/>
    <w:rsid w:val="008B5A39"/>
    <w:rsid w:val="008B66F5"/>
    <w:rsid w:val="008D3F9D"/>
    <w:rsid w:val="008D66FD"/>
    <w:rsid w:val="008E427F"/>
    <w:rsid w:val="008E710F"/>
    <w:rsid w:val="008F0D0C"/>
    <w:rsid w:val="008F34ED"/>
    <w:rsid w:val="009039FC"/>
    <w:rsid w:val="00906C57"/>
    <w:rsid w:val="009141AA"/>
    <w:rsid w:val="00916885"/>
    <w:rsid w:val="00920D80"/>
    <w:rsid w:val="00922EF6"/>
    <w:rsid w:val="00926640"/>
    <w:rsid w:val="009302D0"/>
    <w:rsid w:val="0093103A"/>
    <w:rsid w:val="00931CB0"/>
    <w:rsid w:val="009336A2"/>
    <w:rsid w:val="009356C7"/>
    <w:rsid w:val="0093762C"/>
    <w:rsid w:val="00937811"/>
    <w:rsid w:val="00941E7B"/>
    <w:rsid w:val="009443AF"/>
    <w:rsid w:val="00944525"/>
    <w:rsid w:val="0095105C"/>
    <w:rsid w:val="00956DAC"/>
    <w:rsid w:val="00956DC7"/>
    <w:rsid w:val="0096657D"/>
    <w:rsid w:val="00966E0F"/>
    <w:rsid w:val="009741C5"/>
    <w:rsid w:val="00974966"/>
    <w:rsid w:val="009753B2"/>
    <w:rsid w:val="009812D0"/>
    <w:rsid w:val="0098543A"/>
    <w:rsid w:val="0098761C"/>
    <w:rsid w:val="00990173"/>
    <w:rsid w:val="009A2C20"/>
    <w:rsid w:val="009A3947"/>
    <w:rsid w:val="009A3F26"/>
    <w:rsid w:val="009A4D04"/>
    <w:rsid w:val="009A5F64"/>
    <w:rsid w:val="009B2EAD"/>
    <w:rsid w:val="009B59FB"/>
    <w:rsid w:val="009B680E"/>
    <w:rsid w:val="009C1A56"/>
    <w:rsid w:val="009C3FF3"/>
    <w:rsid w:val="009D0D29"/>
    <w:rsid w:val="009D35F4"/>
    <w:rsid w:val="009E3A14"/>
    <w:rsid w:val="009E53E1"/>
    <w:rsid w:val="009F004B"/>
    <w:rsid w:val="009F14F9"/>
    <w:rsid w:val="009F49CC"/>
    <w:rsid w:val="009F4B1E"/>
    <w:rsid w:val="009F6592"/>
    <w:rsid w:val="009F7115"/>
    <w:rsid w:val="009F7F50"/>
    <w:rsid w:val="00A00A67"/>
    <w:rsid w:val="00A03774"/>
    <w:rsid w:val="00A056F5"/>
    <w:rsid w:val="00A06B09"/>
    <w:rsid w:val="00A2144A"/>
    <w:rsid w:val="00A22014"/>
    <w:rsid w:val="00A26287"/>
    <w:rsid w:val="00A30B9B"/>
    <w:rsid w:val="00A35EDB"/>
    <w:rsid w:val="00A5046E"/>
    <w:rsid w:val="00A51A97"/>
    <w:rsid w:val="00A52902"/>
    <w:rsid w:val="00A558A9"/>
    <w:rsid w:val="00A57663"/>
    <w:rsid w:val="00A64800"/>
    <w:rsid w:val="00A73F23"/>
    <w:rsid w:val="00A753E9"/>
    <w:rsid w:val="00A84C2C"/>
    <w:rsid w:val="00A90E14"/>
    <w:rsid w:val="00A94763"/>
    <w:rsid w:val="00A94E38"/>
    <w:rsid w:val="00A95A73"/>
    <w:rsid w:val="00AB66E6"/>
    <w:rsid w:val="00AB78D4"/>
    <w:rsid w:val="00AC150C"/>
    <w:rsid w:val="00AD2687"/>
    <w:rsid w:val="00AD2B31"/>
    <w:rsid w:val="00AD313F"/>
    <w:rsid w:val="00AE2DD7"/>
    <w:rsid w:val="00AE77B0"/>
    <w:rsid w:val="00AF00A4"/>
    <w:rsid w:val="00AF499C"/>
    <w:rsid w:val="00AF4E2F"/>
    <w:rsid w:val="00AF541E"/>
    <w:rsid w:val="00AF5A1E"/>
    <w:rsid w:val="00B0099E"/>
    <w:rsid w:val="00B0206B"/>
    <w:rsid w:val="00B02ED5"/>
    <w:rsid w:val="00B03205"/>
    <w:rsid w:val="00B06AE7"/>
    <w:rsid w:val="00B07A1B"/>
    <w:rsid w:val="00B176C5"/>
    <w:rsid w:val="00B270D6"/>
    <w:rsid w:val="00B3387A"/>
    <w:rsid w:val="00B33B2F"/>
    <w:rsid w:val="00B4010B"/>
    <w:rsid w:val="00B40C38"/>
    <w:rsid w:val="00B41837"/>
    <w:rsid w:val="00B42320"/>
    <w:rsid w:val="00B504FB"/>
    <w:rsid w:val="00B50586"/>
    <w:rsid w:val="00B513F0"/>
    <w:rsid w:val="00B53038"/>
    <w:rsid w:val="00B53651"/>
    <w:rsid w:val="00B564B0"/>
    <w:rsid w:val="00B60628"/>
    <w:rsid w:val="00B63136"/>
    <w:rsid w:val="00B6342B"/>
    <w:rsid w:val="00B764E6"/>
    <w:rsid w:val="00B777B7"/>
    <w:rsid w:val="00B833D2"/>
    <w:rsid w:val="00B86B65"/>
    <w:rsid w:val="00B978C4"/>
    <w:rsid w:val="00B97BF4"/>
    <w:rsid w:val="00BA14E6"/>
    <w:rsid w:val="00BA38D2"/>
    <w:rsid w:val="00BA5BF0"/>
    <w:rsid w:val="00BA7AD4"/>
    <w:rsid w:val="00BC043E"/>
    <w:rsid w:val="00BC0832"/>
    <w:rsid w:val="00BC4C49"/>
    <w:rsid w:val="00BD0626"/>
    <w:rsid w:val="00BD4BA9"/>
    <w:rsid w:val="00BD6BF0"/>
    <w:rsid w:val="00BE259D"/>
    <w:rsid w:val="00BE5AAC"/>
    <w:rsid w:val="00BF0799"/>
    <w:rsid w:val="00BF3B2D"/>
    <w:rsid w:val="00C0411A"/>
    <w:rsid w:val="00C04310"/>
    <w:rsid w:val="00C051F2"/>
    <w:rsid w:val="00C078A4"/>
    <w:rsid w:val="00C1099F"/>
    <w:rsid w:val="00C121E2"/>
    <w:rsid w:val="00C15B0F"/>
    <w:rsid w:val="00C1751D"/>
    <w:rsid w:val="00C211B7"/>
    <w:rsid w:val="00C215A1"/>
    <w:rsid w:val="00C218CF"/>
    <w:rsid w:val="00C21CCB"/>
    <w:rsid w:val="00C22479"/>
    <w:rsid w:val="00C235D7"/>
    <w:rsid w:val="00C279E3"/>
    <w:rsid w:val="00C27CDA"/>
    <w:rsid w:val="00C33556"/>
    <w:rsid w:val="00C41BEB"/>
    <w:rsid w:val="00C43395"/>
    <w:rsid w:val="00C469BE"/>
    <w:rsid w:val="00C46C79"/>
    <w:rsid w:val="00C50E2F"/>
    <w:rsid w:val="00C51D09"/>
    <w:rsid w:val="00C536B5"/>
    <w:rsid w:val="00C63D48"/>
    <w:rsid w:val="00C66AF8"/>
    <w:rsid w:val="00C67062"/>
    <w:rsid w:val="00C71273"/>
    <w:rsid w:val="00C8279F"/>
    <w:rsid w:val="00C836D6"/>
    <w:rsid w:val="00C84775"/>
    <w:rsid w:val="00C90014"/>
    <w:rsid w:val="00C909AB"/>
    <w:rsid w:val="00C92F40"/>
    <w:rsid w:val="00C955C6"/>
    <w:rsid w:val="00CA0013"/>
    <w:rsid w:val="00CA0B69"/>
    <w:rsid w:val="00CA228A"/>
    <w:rsid w:val="00CA59A7"/>
    <w:rsid w:val="00CB05E3"/>
    <w:rsid w:val="00CB0762"/>
    <w:rsid w:val="00CB3ABE"/>
    <w:rsid w:val="00CB515F"/>
    <w:rsid w:val="00CB60A3"/>
    <w:rsid w:val="00CC29FF"/>
    <w:rsid w:val="00CC4553"/>
    <w:rsid w:val="00CD0DB9"/>
    <w:rsid w:val="00CD3E9C"/>
    <w:rsid w:val="00CD7177"/>
    <w:rsid w:val="00CD71A9"/>
    <w:rsid w:val="00CD7E19"/>
    <w:rsid w:val="00CE17D1"/>
    <w:rsid w:val="00CE2B03"/>
    <w:rsid w:val="00CE650D"/>
    <w:rsid w:val="00CE6DA6"/>
    <w:rsid w:val="00CE7018"/>
    <w:rsid w:val="00CF35AF"/>
    <w:rsid w:val="00CF3F86"/>
    <w:rsid w:val="00CF7F9B"/>
    <w:rsid w:val="00D00612"/>
    <w:rsid w:val="00D0122C"/>
    <w:rsid w:val="00D01B5B"/>
    <w:rsid w:val="00D04C80"/>
    <w:rsid w:val="00D22CEE"/>
    <w:rsid w:val="00D231A6"/>
    <w:rsid w:val="00D2682B"/>
    <w:rsid w:val="00D31CA6"/>
    <w:rsid w:val="00D321C0"/>
    <w:rsid w:val="00D321F3"/>
    <w:rsid w:val="00D322C5"/>
    <w:rsid w:val="00D3439B"/>
    <w:rsid w:val="00D37116"/>
    <w:rsid w:val="00D46F0C"/>
    <w:rsid w:val="00D50C02"/>
    <w:rsid w:val="00D518BC"/>
    <w:rsid w:val="00D51AC3"/>
    <w:rsid w:val="00D538A5"/>
    <w:rsid w:val="00D56789"/>
    <w:rsid w:val="00D57E47"/>
    <w:rsid w:val="00D6009C"/>
    <w:rsid w:val="00D646B3"/>
    <w:rsid w:val="00D65EA2"/>
    <w:rsid w:val="00D675C5"/>
    <w:rsid w:val="00D70303"/>
    <w:rsid w:val="00D71634"/>
    <w:rsid w:val="00D71FC6"/>
    <w:rsid w:val="00D73F97"/>
    <w:rsid w:val="00D807FE"/>
    <w:rsid w:val="00D83D9F"/>
    <w:rsid w:val="00D8572B"/>
    <w:rsid w:val="00D85836"/>
    <w:rsid w:val="00D86A9C"/>
    <w:rsid w:val="00D93761"/>
    <w:rsid w:val="00D9786F"/>
    <w:rsid w:val="00DA1CAE"/>
    <w:rsid w:val="00DA2ADC"/>
    <w:rsid w:val="00DA3EEA"/>
    <w:rsid w:val="00DB1BBF"/>
    <w:rsid w:val="00DB1BE1"/>
    <w:rsid w:val="00DB3593"/>
    <w:rsid w:val="00DC1C02"/>
    <w:rsid w:val="00DC5BFE"/>
    <w:rsid w:val="00DD25CD"/>
    <w:rsid w:val="00DD2B6A"/>
    <w:rsid w:val="00DD5492"/>
    <w:rsid w:val="00DE238D"/>
    <w:rsid w:val="00DE2551"/>
    <w:rsid w:val="00DE465E"/>
    <w:rsid w:val="00DE5533"/>
    <w:rsid w:val="00DF5C74"/>
    <w:rsid w:val="00DF6AB0"/>
    <w:rsid w:val="00E006C0"/>
    <w:rsid w:val="00E00E26"/>
    <w:rsid w:val="00E03C5F"/>
    <w:rsid w:val="00E047EB"/>
    <w:rsid w:val="00E108CA"/>
    <w:rsid w:val="00E10B7F"/>
    <w:rsid w:val="00E129A4"/>
    <w:rsid w:val="00E1491F"/>
    <w:rsid w:val="00E158B9"/>
    <w:rsid w:val="00E16B01"/>
    <w:rsid w:val="00E16D3A"/>
    <w:rsid w:val="00E21515"/>
    <w:rsid w:val="00E240B3"/>
    <w:rsid w:val="00E31ECD"/>
    <w:rsid w:val="00E41B40"/>
    <w:rsid w:val="00E45307"/>
    <w:rsid w:val="00E47FDC"/>
    <w:rsid w:val="00E50E33"/>
    <w:rsid w:val="00E52FDE"/>
    <w:rsid w:val="00E53807"/>
    <w:rsid w:val="00E56CE7"/>
    <w:rsid w:val="00E56D0F"/>
    <w:rsid w:val="00E63A87"/>
    <w:rsid w:val="00E6491B"/>
    <w:rsid w:val="00E67593"/>
    <w:rsid w:val="00E71106"/>
    <w:rsid w:val="00E71C99"/>
    <w:rsid w:val="00E7641A"/>
    <w:rsid w:val="00E76485"/>
    <w:rsid w:val="00E77EA2"/>
    <w:rsid w:val="00E810D1"/>
    <w:rsid w:val="00E811C9"/>
    <w:rsid w:val="00E81AC3"/>
    <w:rsid w:val="00E82ABF"/>
    <w:rsid w:val="00E91622"/>
    <w:rsid w:val="00E956B9"/>
    <w:rsid w:val="00E9577B"/>
    <w:rsid w:val="00E96AA7"/>
    <w:rsid w:val="00EA7461"/>
    <w:rsid w:val="00EB265D"/>
    <w:rsid w:val="00EB7098"/>
    <w:rsid w:val="00EC0AB8"/>
    <w:rsid w:val="00EC1305"/>
    <w:rsid w:val="00EC458C"/>
    <w:rsid w:val="00ED78B3"/>
    <w:rsid w:val="00EE4CE2"/>
    <w:rsid w:val="00EE6FE3"/>
    <w:rsid w:val="00EF140C"/>
    <w:rsid w:val="00EF204B"/>
    <w:rsid w:val="00EF2F3A"/>
    <w:rsid w:val="00EF5BC5"/>
    <w:rsid w:val="00F000CA"/>
    <w:rsid w:val="00F015D0"/>
    <w:rsid w:val="00F01B46"/>
    <w:rsid w:val="00F02152"/>
    <w:rsid w:val="00F029A1"/>
    <w:rsid w:val="00F0446B"/>
    <w:rsid w:val="00F12107"/>
    <w:rsid w:val="00F1326F"/>
    <w:rsid w:val="00F158C0"/>
    <w:rsid w:val="00F2707F"/>
    <w:rsid w:val="00F30AB1"/>
    <w:rsid w:val="00F43C9B"/>
    <w:rsid w:val="00F463ED"/>
    <w:rsid w:val="00F510B6"/>
    <w:rsid w:val="00F55076"/>
    <w:rsid w:val="00F6027B"/>
    <w:rsid w:val="00F602E9"/>
    <w:rsid w:val="00F60F8F"/>
    <w:rsid w:val="00F6130B"/>
    <w:rsid w:val="00F6230B"/>
    <w:rsid w:val="00F625FC"/>
    <w:rsid w:val="00F6375B"/>
    <w:rsid w:val="00F75DC3"/>
    <w:rsid w:val="00F801E8"/>
    <w:rsid w:val="00F80E0C"/>
    <w:rsid w:val="00F82056"/>
    <w:rsid w:val="00F82E72"/>
    <w:rsid w:val="00F8345C"/>
    <w:rsid w:val="00F837BC"/>
    <w:rsid w:val="00F858C9"/>
    <w:rsid w:val="00F87DDF"/>
    <w:rsid w:val="00F9267C"/>
    <w:rsid w:val="00F97E90"/>
    <w:rsid w:val="00FA07F0"/>
    <w:rsid w:val="00FA441B"/>
    <w:rsid w:val="00FB0166"/>
    <w:rsid w:val="00FB2C9A"/>
    <w:rsid w:val="00FB50B9"/>
    <w:rsid w:val="00FC0378"/>
    <w:rsid w:val="00FC4324"/>
    <w:rsid w:val="00FC63A3"/>
    <w:rsid w:val="00FD0768"/>
    <w:rsid w:val="00FD450F"/>
    <w:rsid w:val="00FD4CFD"/>
    <w:rsid w:val="00FD60FC"/>
    <w:rsid w:val="00FD7E6B"/>
    <w:rsid w:val="00FF415F"/>
    <w:rsid w:val="00FF5C0B"/>
    <w:rsid w:val="00FF68E8"/>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5:chartTrackingRefBased/>
  <w15:docId w15:val="{545D55C6-7EEC-438F-9368-3EC85D93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7DDF"/>
    <w:rPr>
      <w:sz w:val="24"/>
      <w:szCs w:val="24"/>
      <w:lang w:val="en-US" w:eastAsia="en-US"/>
    </w:rPr>
  </w:style>
  <w:style w:type="paragraph" w:styleId="Titolo1">
    <w:name w:val="heading 1"/>
    <w:aliases w:val="ECHA Heading 1"/>
    <w:basedOn w:val="Normale"/>
    <w:next w:val="Corpotesto"/>
    <w:link w:val="Titolo1Carattere"/>
    <w:qFormat/>
    <w:rsid w:val="0093103A"/>
    <w:pPr>
      <w:keepNext/>
      <w:keepLines/>
      <w:widowControl w:val="0"/>
      <w:numPr>
        <w:numId w:val="1"/>
      </w:numPr>
      <w:spacing w:after="240"/>
      <w:outlineLvl w:val="0"/>
    </w:pPr>
    <w:rPr>
      <w:rFonts w:ascii="Verdana" w:eastAsia="Times New Roman" w:hAnsi="Verdana"/>
      <w:b/>
      <w:snapToGrid w:val="0"/>
      <w:color w:val="0046AD"/>
      <w:sz w:val="28"/>
      <w:lang w:val="en-GB" w:eastAsia="fi-FI"/>
    </w:rPr>
  </w:style>
  <w:style w:type="paragraph" w:styleId="Titolo2">
    <w:name w:val="heading 2"/>
    <w:aliases w:val="ECHA Heading 2"/>
    <w:basedOn w:val="Titolo1"/>
    <w:next w:val="Corpotesto"/>
    <w:link w:val="Titolo2Carattere"/>
    <w:qFormat/>
    <w:rsid w:val="0093103A"/>
    <w:pPr>
      <w:numPr>
        <w:ilvl w:val="1"/>
      </w:numPr>
      <w:outlineLvl w:val="1"/>
    </w:pPr>
    <w:rPr>
      <w:rFonts w:cs="Arial"/>
      <w:sz w:val="24"/>
      <w:szCs w:val="22"/>
    </w:rPr>
  </w:style>
  <w:style w:type="paragraph" w:styleId="Titolo3">
    <w:name w:val="heading 3"/>
    <w:aliases w:val="ECHA Heading 3"/>
    <w:basedOn w:val="Titolo2"/>
    <w:next w:val="Corpotesto"/>
    <w:link w:val="Titolo3Carattere"/>
    <w:qFormat/>
    <w:rsid w:val="0093103A"/>
    <w:pPr>
      <w:numPr>
        <w:ilvl w:val="2"/>
      </w:numPr>
      <w:outlineLvl w:val="2"/>
    </w:pPr>
    <w:rPr>
      <w:bCs/>
      <w:color w:val="000000"/>
      <w:sz w:val="22"/>
    </w:rPr>
  </w:style>
  <w:style w:type="paragraph" w:styleId="Titolo4">
    <w:name w:val="heading 4"/>
    <w:aliases w:val="ECHA Heading 4"/>
    <w:basedOn w:val="Titolo3"/>
    <w:next w:val="Corpotesto"/>
    <w:link w:val="Titolo4Carattere"/>
    <w:autoRedefine/>
    <w:qFormat/>
    <w:rsid w:val="0093103A"/>
    <w:pPr>
      <w:numPr>
        <w:ilvl w:val="3"/>
      </w:numPr>
      <w:outlineLvl w:val="3"/>
    </w:pPr>
    <w:rPr>
      <w:bCs w:val="0"/>
      <w:szCs w:val="28"/>
    </w:rPr>
  </w:style>
  <w:style w:type="paragraph" w:styleId="Titolo5">
    <w:name w:val="heading 5"/>
    <w:aliases w:val="ECHA Heading 5"/>
    <w:basedOn w:val="Titolo3"/>
    <w:next w:val="Corpotesto"/>
    <w:link w:val="Titolo5Carattere"/>
    <w:qFormat/>
    <w:rsid w:val="0093103A"/>
    <w:pPr>
      <w:numPr>
        <w:ilvl w:val="4"/>
      </w:numPr>
      <w:outlineLvl w:val="4"/>
    </w:pPr>
    <w:rPr>
      <w:bCs w:val="0"/>
      <w:iCs/>
      <w:sz w:val="20"/>
      <w:szCs w:val="26"/>
    </w:rPr>
  </w:style>
  <w:style w:type="paragraph" w:styleId="Titolo6">
    <w:name w:val="heading 6"/>
    <w:aliases w:val="ECHA Heading 6"/>
    <w:basedOn w:val="Titolo5"/>
    <w:next w:val="Corpotesto"/>
    <w:link w:val="Titolo6Carattere"/>
    <w:qFormat/>
    <w:rsid w:val="0093103A"/>
    <w:pPr>
      <w:numPr>
        <w:ilvl w:val="5"/>
      </w:numPr>
      <w:outlineLvl w:val="5"/>
    </w:pPr>
    <w:rPr>
      <w:bCs/>
      <w:szCs w:val="22"/>
    </w:rPr>
  </w:style>
  <w:style w:type="paragraph" w:styleId="Titolo7">
    <w:name w:val="heading 7"/>
    <w:aliases w:val="ECHA Heading 7"/>
    <w:basedOn w:val="Titolo5"/>
    <w:next w:val="Corpotesto"/>
    <w:link w:val="Titolo7Carattere"/>
    <w:qFormat/>
    <w:rsid w:val="0093103A"/>
    <w:pPr>
      <w:numPr>
        <w:ilvl w:val="6"/>
      </w:numPr>
      <w:outlineLvl w:val="6"/>
    </w:pPr>
    <w:rPr>
      <w:szCs w:val="24"/>
    </w:rPr>
  </w:style>
  <w:style w:type="paragraph" w:styleId="Titolo8">
    <w:name w:val="heading 8"/>
    <w:aliases w:val="ECHA Heading 8"/>
    <w:basedOn w:val="Titolo5"/>
    <w:next w:val="Corpotesto"/>
    <w:link w:val="Titolo8Carattere"/>
    <w:qFormat/>
    <w:rsid w:val="0093103A"/>
    <w:pPr>
      <w:numPr>
        <w:ilvl w:val="7"/>
      </w:numPr>
      <w:outlineLvl w:val="7"/>
    </w:pPr>
    <w:rPr>
      <w:iCs w:val="0"/>
      <w:szCs w:val="24"/>
    </w:rPr>
  </w:style>
  <w:style w:type="paragraph" w:styleId="Titolo9">
    <w:name w:val="heading 9"/>
    <w:aliases w:val="ECHA Heading 9"/>
    <w:basedOn w:val="Titolo5"/>
    <w:next w:val="Corpotesto"/>
    <w:link w:val="Titolo9Carattere"/>
    <w:qFormat/>
    <w:rsid w:val="0093103A"/>
    <w:pPr>
      <w:numPr>
        <w:ilvl w:val="8"/>
      </w:numPr>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86344C"/>
  </w:style>
  <w:style w:type="paragraph" w:styleId="Intestazione">
    <w:name w:val="header"/>
    <w:basedOn w:val="Normale"/>
    <w:link w:val="IntestazioneCarattere"/>
    <w:uiPriority w:val="99"/>
    <w:unhideWhenUsed/>
    <w:rsid w:val="00F1326F"/>
    <w:pPr>
      <w:tabs>
        <w:tab w:val="center" w:pos="4536"/>
        <w:tab w:val="right" w:pos="9072"/>
      </w:tabs>
    </w:pPr>
    <w:rPr>
      <w:lang w:val="de-DE" w:eastAsia="ja-JP"/>
    </w:rPr>
  </w:style>
  <w:style w:type="character" w:customStyle="1" w:styleId="IntestazioneCarattere">
    <w:name w:val="Intestazione Carattere"/>
    <w:basedOn w:val="Carpredefinitoparagrafo"/>
    <w:link w:val="Intestazione"/>
    <w:uiPriority w:val="99"/>
    <w:rsid w:val="00F1326F"/>
  </w:style>
  <w:style w:type="paragraph" w:styleId="Pidipagina">
    <w:name w:val="footer"/>
    <w:basedOn w:val="Normale"/>
    <w:link w:val="PidipaginaCarattere"/>
    <w:uiPriority w:val="99"/>
    <w:unhideWhenUsed/>
    <w:rsid w:val="00F1326F"/>
    <w:pPr>
      <w:tabs>
        <w:tab w:val="center" w:pos="4536"/>
        <w:tab w:val="right" w:pos="9072"/>
      </w:tabs>
    </w:pPr>
    <w:rPr>
      <w:lang w:val="de-DE" w:eastAsia="ja-JP"/>
    </w:rPr>
  </w:style>
  <w:style w:type="character" w:customStyle="1" w:styleId="PidipaginaCarattere">
    <w:name w:val="Piè di pagina Carattere"/>
    <w:basedOn w:val="Carpredefinitoparagrafo"/>
    <w:link w:val="Pidipagina"/>
    <w:uiPriority w:val="99"/>
    <w:rsid w:val="00F1326F"/>
  </w:style>
  <w:style w:type="paragraph" w:styleId="Testofumetto">
    <w:name w:val="Balloon Text"/>
    <w:basedOn w:val="Normale"/>
    <w:link w:val="TestofumettoCarattere"/>
    <w:uiPriority w:val="99"/>
    <w:semiHidden/>
    <w:unhideWhenUsed/>
    <w:rsid w:val="00845AD5"/>
    <w:rPr>
      <w:rFonts w:ascii="Tahoma" w:hAnsi="Tahoma" w:cs="Tahoma"/>
      <w:sz w:val="16"/>
      <w:szCs w:val="16"/>
    </w:rPr>
  </w:style>
  <w:style w:type="character" w:customStyle="1" w:styleId="TestofumettoCarattere">
    <w:name w:val="Testo fumetto Carattere"/>
    <w:link w:val="Testofumetto"/>
    <w:uiPriority w:val="99"/>
    <w:semiHidden/>
    <w:rsid w:val="00845AD5"/>
    <w:rPr>
      <w:rFonts w:ascii="Tahoma" w:hAnsi="Tahoma" w:cs="Tahoma"/>
      <w:sz w:val="16"/>
      <w:szCs w:val="16"/>
      <w:lang w:val="en-US" w:eastAsia="en-US"/>
    </w:rPr>
  </w:style>
  <w:style w:type="character" w:customStyle="1" w:styleId="Titolo1Carattere">
    <w:name w:val="Titolo 1 Carattere"/>
    <w:aliases w:val="ECHA Heading 1 Carattere"/>
    <w:link w:val="Titolo1"/>
    <w:rsid w:val="0093103A"/>
    <w:rPr>
      <w:rFonts w:ascii="Verdana" w:eastAsia="Times New Roman" w:hAnsi="Verdana"/>
      <w:b/>
      <w:snapToGrid w:val="0"/>
      <w:color w:val="0046AD"/>
      <w:sz w:val="28"/>
      <w:szCs w:val="24"/>
      <w:lang w:eastAsia="fi-FI"/>
    </w:rPr>
  </w:style>
  <w:style w:type="character" w:customStyle="1" w:styleId="Titolo2Carattere">
    <w:name w:val="Titolo 2 Carattere"/>
    <w:aliases w:val="ECHA Heading 2 Carattere"/>
    <w:link w:val="Titolo2"/>
    <w:rsid w:val="0093103A"/>
    <w:rPr>
      <w:rFonts w:ascii="Verdana" w:eastAsia="Times New Roman" w:hAnsi="Verdana" w:cs="Arial"/>
      <w:b/>
      <w:snapToGrid w:val="0"/>
      <w:color w:val="0046AD"/>
      <w:sz w:val="24"/>
      <w:szCs w:val="22"/>
      <w:lang w:eastAsia="fi-FI"/>
    </w:rPr>
  </w:style>
  <w:style w:type="character" w:customStyle="1" w:styleId="Titolo3Carattere">
    <w:name w:val="Titolo 3 Carattere"/>
    <w:aliases w:val="ECHA Heading 3 Carattere"/>
    <w:link w:val="Titolo3"/>
    <w:rsid w:val="0093103A"/>
    <w:rPr>
      <w:rFonts w:ascii="Verdana" w:eastAsia="Times New Roman" w:hAnsi="Verdana" w:cs="Arial"/>
      <w:b/>
      <w:bCs/>
      <w:snapToGrid w:val="0"/>
      <w:color w:val="000000"/>
      <w:sz w:val="22"/>
      <w:szCs w:val="22"/>
      <w:lang w:eastAsia="fi-FI"/>
    </w:rPr>
  </w:style>
  <w:style w:type="character" w:customStyle="1" w:styleId="Titolo4Carattere">
    <w:name w:val="Titolo 4 Carattere"/>
    <w:aliases w:val="ECHA Heading 4 Carattere"/>
    <w:link w:val="Titolo4"/>
    <w:rsid w:val="0093103A"/>
    <w:rPr>
      <w:rFonts w:ascii="Verdana" w:eastAsia="Times New Roman" w:hAnsi="Verdana" w:cs="Arial"/>
      <w:b/>
      <w:snapToGrid w:val="0"/>
      <w:color w:val="000000"/>
      <w:sz w:val="22"/>
      <w:szCs w:val="28"/>
      <w:lang w:eastAsia="fi-FI"/>
    </w:rPr>
  </w:style>
  <w:style w:type="character" w:customStyle="1" w:styleId="Titolo5Carattere">
    <w:name w:val="Titolo 5 Carattere"/>
    <w:aliases w:val="ECHA Heading 5 Carattere"/>
    <w:link w:val="Titolo5"/>
    <w:rsid w:val="0093103A"/>
    <w:rPr>
      <w:rFonts w:ascii="Verdana" w:eastAsia="Times New Roman" w:hAnsi="Verdana" w:cs="Arial"/>
      <w:b/>
      <w:iCs/>
      <w:snapToGrid w:val="0"/>
      <w:color w:val="000000"/>
      <w:szCs w:val="26"/>
      <w:lang w:eastAsia="fi-FI"/>
    </w:rPr>
  </w:style>
  <w:style w:type="character" w:customStyle="1" w:styleId="Titolo6Carattere">
    <w:name w:val="Titolo 6 Carattere"/>
    <w:aliases w:val="ECHA Heading 6 Carattere"/>
    <w:link w:val="Titolo6"/>
    <w:rsid w:val="0093103A"/>
    <w:rPr>
      <w:rFonts w:ascii="Verdana" w:eastAsia="Times New Roman" w:hAnsi="Verdana" w:cs="Arial"/>
      <w:b/>
      <w:bCs/>
      <w:iCs/>
      <w:snapToGrid w:val="0"/>
      <w:color w:val="000000"/>
      <w:szCs w:val="22"/>
      <w:lang w:eastAsia="fi-FI"/>
    </w:rPr>
  </w:style>
  <w:style w:type="character" w:customStyle="1" w:styleId="Titolo7Carattere">
    <w:name w:val="Titolo 7 Carattere"/>
    <w:aliases w:val="ECHA Heading 7 Carattere"/>
    <w:link w:val="Titolo7"/>
    <w:rsid w:val="0093103A"/>
    <w:rPr>
      <w:rFonts w:ascii="Verdana" w:eastAsia="Times New Roman" w:hAnsi="Verdana" w:cs="Arial"/>
      <w:b/>
      <w:iCs/>
      <w:snapToGrid w:val="0"/>
      <w:color w:val="000000"/>
      <w:szCs w:val="24"/>
      <w:lang w:eastAsia="fi-FI"/>
    </w:rPr>
  </w:style>
  <w:style w:type="character" w:customStyle="1" w:styleId="Titolo8Carattere">
    <w:name w:val="Titolo 8 Carattere"/>
    <w:aliases w:val="ECHA Heading 8 Carattere"/>
    <w:link w:val="Titolo8"/>
    <w:rsid w:val="0093103A"/>
    <w:rPr>
      <w:rFonts w:ascii="Verdana" w:eastAsia="Times New Roman" w:hAnsi="Verdana" w:cs="Arial"/>
      <w:b/>
      <w:snapToGrid w:val="0"/>
      <w:color w:val="000000"/>
      <w:szCs w:val="24"/>
      <w:lang w:eastAsia="fi-FI"/>
    </w:rPr>
  </w:style>
  <w:style w:type="character" w:customStyle="1" w:styleId="Titolo9Carattere">
    <w:name w:val="Titolo 9 Carattere"/>
    <w:aliases w:val="ECHA Heading 9 Carattere"/>
    <w:link w:val="Titolo9"/>
    <w:rsid w:val="0093103A"/>
    <w:rPr>
      <w:rFonts w:ascii="Verdana" w:eastAsia="Times New Roman" w:hAnsi="Verdana" w:cs="Arial"/>
      <w:b/>
      <w:iCs/>
      <w:snapToGrid w:val="0"/>
      <w:color w:val="000000"/>
      <w:szCs w:val="22"/>
      <w:lang w:eastAsia="fi-FI"/>
    </w:rPr>
  </w:style>
  <w:style w:type="paragraph" w:styleId="Corpotesto">
    <w:name w:val="Body Text"/>
    <w:aliases w:val="Text"/>
    <w:basedOn w:val="Normale"/>
    <w:link w:val="CorpotestoCarattere"/>
    <w:rsid w:val="0093103A"/>
    <w:pPr>
      <w:widowControl w:val="0"/>
      <w:spacing w:after="240"/>
    </w:pPr>
    <w:rPr>
      <w:rFonts w:ascii="Verdana" w:eastAsia="Times New Roman" w:hAnsi="Verdana"/>
      <w:snapToGrid w:val="0"/>
      <w:sz w:val="20"/>
      <w:szCs w:val="20"/>
      <w:lang w:val="en-GB" w:eastAsia="fi-FI"/>
    </w:rPr>
  </w:style>
  <w:style w:type="character" w:customStyle="1" w:styleId="CorpotestoCarattere">
    <w:name w:val="Corpo testo Carattere"/>
    <w:aliases w:val="Text Carattere"/>
    <w:link w:val="Corpotesto"/>
    <w:rsid w:val="0093103A"/>
    <w:rPr>
      <w:rFonts w:ascii="Verdana" w:eastAsia="Times New Roman" w:hAnsi="Verdana"/>
      <w:snapToGrid w:val="0"/>
      <w:lang w:eastAsia="fi-FI"/>
    </w:rPr>
  </w:style>
  <w:style w:type="paragraph" w:customStyle="1" w:styleId="Footnotes">
    <w:name w:val="Footnotes"/>
    <w:basedOn w:val="Corpotesto"/>
    <w:autoRedefine/>
    <w:qFormat/>
    <w:rsid w:val="0093103A"/>
    <w:pPr>
      <w:spacing w:after="0"/>
    </w:pPr>
    <w:rPr>
      <w:sz w:val="18"/>
    </w:rPr>
  </w:style>
  <w:style w:type="paragraph" w:styleId="Testonotaapidipagina">
    <w:name w:val="footnote text"/>
    <w:basedOn w:val="Normale"/>
    <w:link w:val="TestonotaapidipaginaCarattere"/>
    <w:uiPriority w:val="99"/>
    <w:qFormat/>
    <w:rsid w:val="004B3440"/>
    <w:pPr>
      <w:widowControl w:val="0"/>
    </w:pPr>
    <w:rPr>
      <w:rFonts w:ascii="Verdana" w:eastAsia="Times New Roman" w:hAnsi="Verdana"/>
      <w:snapToGrid w:val="0"/>
      <w:sz w:val="18"/>
      <w:szCs w:val="20"/>
      <w:lang w:val="en-GB" w:eastAsia="fi-FI"/>
    </w:rPr>
  </w:style>
  <w:style w:type="character" w:customStyle="1" w:styleId="TestonotaapidipaginaCarattere">
    <w:name w:val="Testo nota a piè di pagina Carattere"/>
    <w:link w:val="Testonotaapidipagina"/>
    <w:uiPriority w:val="99"/>
    <w:rsid w:val="004B3440"/>
    <w:rPr>
      <w:rFonts w:ascii="Verdana" w:eastAsia="Times New Roman" w:hAnsi="Verdana"/>
      <w:snapToGrid w:val="0"/>
      <w:sz w:val="18"/>
      <w:lang w:eastAsia="fi-FI"/>
    </w:rPr>
  </w:style>
  <w:style w:type="character" w:styleId="Rimandonotaapidipagina">
    <w:name w:val="footnote reference"/>
    <w:aliases w:val="Footnote"/>
    <w:uiPriority w:val="99"/>
    <w:qFormat/>
    <w:rsid w:val="004B3440"/>
    <w:rPr>
      <w:rFonts w:ascii="Verdana" w:hAnsi="Verdana"/>
      <w:sz w:val="18"/>
      <w:vertAlign w:val="superscript"/>
    </w:rPr>
  </w:style>
  <w:style w:type="paragraph" w:customStyle="1" w:styleId="Default">
    <w:name w:val="Default"/>
    <w:rsid w:val="00223A3D"/>
    <w:pPr>
      <w:autoSpaceDE w:val="0"/>
      <w:autoSpaceDN w:val="0"/>
      <w:adjustRightInd w:val="0"/>
    </w:pPr>
    <w:rPr>
      <w:rFonts w:ascii="Arial" w:eastAsia="Arial" w:hAnsi="Arial" w:cs="Arial"/>
      <w:color w:val="000000"/>
      <w:sz w:val="24"/>
      <w:szCs w:val="24"/>
      <w:lang w:val="de-DE" w:eastAsia="en-US"/>
    </w:rPr>
  </w:style>
  <w:style w:type="numbering" w:customStyle="1" w:styleId="Style1">
    <w:name w:val="Style1"/>
    <w:uiPriority w:val="99"/>
    <w:rsid w:val="002054E1"/>
    <w:pPr>
      <w:numPr>
        <w:numId w:val="2"/>
      </w:numPr>
    </w:pPr>
  </w:style>
  <w:style w:type="table" w:styleId="Grigliatabella">
    <w:name w:val="Table Grid"/>
    <w:basedOn w:val="Tabellanormale"/>
    <w:uiPriority w:val="59"/>
    <w:rsid w:val="00CB0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A5F64"/>
    <w:pPr>
      <w:spacing w:before="100" w:beforeAutospacing="1" w:after="100" w:afterAutospacing="1"/>
    </w:pPr>
    <w:rPr>
      <w:rFonts w:ascii="Times New Roman" w:eastAsia="Times New Roman" w:hAnsi="Times New Roman"/>
      <w:lang w:val="en-GB" w:eastAsia="en-GB"/>
    </w:rPr>
  </w:style>
  <w:style w:type="character" w:styleId="Rimandocommento">
    <w:name w:val="annotation reference"/>
    <w:uiPriority w:val="99"/>
    <w:semiHidden/>
    <w:unhideWhenUsed/>
    <w:rsid w:val="00813513"/>
    <w:rPr>
      <w:sz w:val="16"/>
      <w:szCs w:val="16"/>
    </w:rPr>
  </w:style>
  <w:style w:type="paragraph" w:styleId="Testocommento">
    <w:name w:val="annotation text"/>
    <w:basedOn w:val="Normale"/>
    <w:link w:val="TestocommentoCarattere"/>
    <w:uiPriority w:val="99"/>
    <w:semiHidden/>
    <w:unhideWhenUsed/>
    <w:rsid w:val="00813513"/>
    <w:rPr>
      <w:sz w:val="20"/>
      <w:szCs w:val="20"/>
    </w:rPr>
  </w:style>
  <w:style w:type="character" w:customStyle="1" w:styleId="TestocommentoCarattere">
    <w:name w:val="Testo commento Carattere"/>
    <w:link w:val="Testocommento"/>
    <w:uiPriority w:val="99"/>
    <w:semiHidden/>
    <w:rsid w:val="00813513"/>
    <w:rPr>
      <w:lang w:val="en-US" w:eastAsia="en-US"/>
    </w:rPr>
  </w:style>
  <w:style w:type="paragraph" w:styleId="Soggettocommento">
    <w:name w:val="annotation subject"/>
    <w:basedOn w:val="Testocommento"/>
    <w:next w:val="Testocommento"/>
    <w:link w:val="SoggettocommentoCarattere"/>
    <w:uiPriority w:val="99"/>
    <w:semiHidden/>
    <w:unhideWhenUsed/>
    <w:rsid w:val="00813513"/>
    <w:rPr>
      <w:b/>
      <w:bCs/>
    </w:rPr>
  </w:style>
  <w:style w:type="character" w:customStyle="1" w:styleId="SoggettocommentoCarattere">
    <w:name w:val="Soggetto commento Carattere"/>
    <w:link w:val="Soggettocommento"/>
    <w:uiPriority w:val="99"/>
    <w:semiHidden/>
    <w:rsid w:val="00813513"/>
    <w:rPr>
      <w:b/>
      <w:bCs/>
      <w:lang w:val="en-US" w:eastAsia="en-US"/>
    </w:rPr>
  </w:style>
  <w:style w:type="paragraph" w:styleId="Paragrafoelenco">
    <w:name w:val="List Paragraph"/>
    <w:basedOn w:val="Normale"/>
    <w:uiPriority w:val="34"/>
    <w:qFormat/>
    <w:rsid w:val="0006697E"/>
    <w:pPr>
      <w:ind w:left="720"/>
    </w:pPr>
  </w:style>
  <w:style w:type="paragraph" w:styleId="Revisione">
    <w:name w:val="Revision"/>
    <w:hidden/>
    <w:uiPriority w:val="99"/>
    <w:semiHidden/>
    <w:rsid w:val="00CD71A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6501">
      <w:bodyDiv w:val="1"/>
      <w:marLeft w:val="0"/>
      <w:marRight w:val="0"/>
      <w:marTop w:val="0"/>
      <w:marBottom w:val="0"/>
      <w:divBdr>
        <w:top w:val="none" w:sz="0" w:space="0" w:color="auto"/>
        <w:left w:val="none" w:sz="0" w:space="0" w:color="auto"/>
        <w:bottom w:val="none" w:sz="0" w:space="0" w:color="auto"/>
        <w:right w:val="none" w:sz="0" w:space="0" w:color="auto"/>
      </w:divBdr>
    </w:div>
    <w:div w:id="106587807">
      <w:bodyDiv w:val="1"/>
      <w:marLeft w:val="0"/>
      <w:marRight w:val="0"/>
      <w:marTop w:val="0"/>
      <w:marBottom w:val="0"/>
      <w:divBdr>
        <w:top w:val="none" w:sz="0" w:space="0" w:color="auto"/>
        <w:left w:val="none" w:sz="0" w:space="0" w:color="auto"/>
        <w:bottom w:val="none" w:sz="0" w:space="0" w:color="auto"/>
        <w:right w:val="none" w:sz="0" w:space="0" w:color="auto"/>
      </w:divBdr>
    </w:div>
    <w:div w:id="237978201">
      <w:bodyDiv w:val="1"/>
      <w:marLeft w:val="0"/>
      <w:marRight w:val="0"/>
      <w:marTop w:val="0"/>
      <w:marBottom w:val="0"/>
      <w:divBdr>
        <w:top w:val="none" w:sz="0" w:space="0" w:color="auto"/>
        <w:left w:val="none" w:sz="0" w:space="0" w:color="auto"/>
        <w:bottom w:val="none" w:sz="0" w:space="0" w:color="auto"/>
        <w:right w:val="none" w:sz="0" w:space="0" w:color="auto"/>
      </w:divBdr>
    </w:div>
    <w:div w:id="722755166">
      <w:bodyDiv w:val="1"/>
      <w:marLeft w:val="0"/>
      <w:marRight w:val="0"/>
      <w:marTop w:val="0"/>
      <w:marBottom w:val="0"/>
      <w:divBdr>
        <w:top w:val="none" w:sz="0" w:space="0" w:color="auto"/>
        <w:left w:val="none" w:sz="0" w:space="0" w:color="auto"/>
        <w:bottom w:val="none" w:sz="0" w:space="0" w:color="auto"/>
        <w:right w:val="none" w:sz="0" w:space="0" w:color="auto"/>
      </w:divBdr>
    </w:div>
    <w:div w:id="1050180456">
      <w:bodyDiv w:val="1"/>
      <w:marLeft w:val="0"/>
      <w:marRight w:val="0"/>
      <w:marTop w:val="0"/>
      <w:marBottom w:val="0"/>
      <w:divBdr>
        <w:top w:val="none" w:sz="0" w:space="0" w:color="auto"/>
        <w:left w:val="none" w:sz="0" w:space="0" w:color="auto"/>
        <w:bottom w:val="none" w:sz="0" w:space="0" w:color="auto"/>
        <w:right w:val="none" w:sz="0" w:space="0" w:color="auto"/>
      </w:divBdr>
    </w:div>
    <w:div w:id="1257446701">
      <w:bodyDiv w:val="1"/>
      <w:marLeft w:val="0"/>
      <w:marRight w:val="0"/>
      <w:marTop w:val="0"/>
      <w:marBottom w:val="0"/>
      <w:divBdr>
        <w:top w:val="none" w:sz="0" w:space="0" w:color="auto"/>
        <w:left w:val="none" w:sz="0" w:space="0" w:color="auto"/>
        <w:bottom w:val="none" w:sz="0" w:space="0" w:color="auto"/>
        <w:right w:val="none" w:sz="0" w:space="0" w:color="auto"/>
      </w:divBdr>
    </w:div>
    <w:div w:id="1358505216">
      <w:bodyDiv w:val="1"/>
      <w:marLeft w:val="0"/>
      <w:marRight w:val="0"/>
      <w:marTop w:val="0"/>
      <w:marBottom w:val="0"/>
      <w:divBdr>
        <w:top w:val="none" w:sz="0" w:space="0" w:color="auto"/>
        <w:left w:val="none" w:sz="0" w:space="0" w:color="auto"/>
        <w:bottom w:val="none" w:sz="0" w:space="0" w:color="auto"/>
        <w:right w:val="none" w:sz="0" w:space="0" w:color="auto"/>
      </w:divBdr>
    </w:div>
    <w:div w:id="1371491692">
      <w:bodyDiv w:val="1"/>
      <w:marLeft w:val="0"/>
      <w:marRight w:val="0"/>
      <w:marTop w:val="0"/>
      <w:marBottom w:val="0"/>
      <w:divBdr>
        <w:top w:val="none" w:sz="0" w:space="0" w:color="auto"/>
        <w:left w:val="none" w:sz="0" w:space="0" w:color="auto"/>
        <w:bottom w:val="none" w:sz="0" w:space="0" w:color="auto"/>
        <w:right w:val="none" w:sz="0" w:space="0" w:color="auto"/>
      </w:divBdr>
    </w:div>
    <w:div w:id="1460876414">
      <w:bodyDiv w:val="1"/>
      <w:marLeft w:val="0"/>
      <w:marRight w:val="0"/>
      <w:marTop w:val="0"/>
      <w:marBottom w:val="0"/>
      <w:divBdr>
        <w:top w:val="none" w:sz="0" w:space="0" w:color="auto"/>
        <w:left w:val="none" w:sz="0" w:space="0" w:color="auto"/>
        <w:bottom w:val="none" w:sz="0" w:space="0" w:color="auto"/>
        <w:right w:val="none" w:sz="0" w:space="0" w:color="auto"/>
      </w:divBdr>
    </w:div>
    <w:div w:id="1552840655">
      <w:bodyDiv w:val="1"/>
      <w:marLeft w:val="0"/>
      <w:marRight w:val="0"/>
      <w:marTop w:val="0"/>
      <w:marBottom w:val="0"/>
      <w:divBdr>
        <w:top w:val="none" w:sz="0" w:space="0" w:color="auto"/>
        <w:left w:val="none" w:sz="0" w:space="0" w:color="auto"/>
        <w:bottom w:val="none" w:sz="0" w:space="0" w:color="auto"/>
        <w:right w:val="none" w:sz="0" w:space="0" w:color="auto"/>
      </w:divBdr>
      <w:divsChild>
        <w:div w:id="134882875">
          <w:marLeft w:val="446"/>
          <w:marRight w:val="0"/>
          <w:marTop w:val="0"/>
          <w:marBottom w:val="0"/>
          <w:divBdr>
            <w:top w:val="none" w:sz="0" w:space="0" w:color="auto"/>
            <w:left w:val="none" w:sz="0" w:space="0" w:color="auto"/>
            <w:bottom w:val="none" w:sz="0" w:space="0" w:color="auto"/>
            <w:right w:val="none" w:sz="0" w:space="0" w:color="auto"/>
          </w:divBdr>
        </w:div>
        <w:div w:id="170148988">
          <w:marLeft w:val="446"/>
          <w:marRight w:val="0"/>
          <w:marTop w:val="0"/>
          <w:marBottom w:val="0"/>
          <w:divBdr>
            <w:top w:val="none" w:sz="0" w:space="0" w:color="auto"/>
            <w:left w:val="none" w:sz="0" w:space="0" w:color="auto"/>
            <w:bottom w:val="none" w:sz="0" w:space="0" w:color="auto"/>
            <w:right w:val="none" w:sz="0" w:space="0" w:color="auto"/>
          </w:divBdr>
        </w:div>
      </w:divsChild>
    </w:div>
    <w:div w:id="1766146257">
      <w:bodyDiv w:val="1"/>
      <w:marLeft w:val="0"/>
      <w:marRight w:val="0"/>
      <w:marTop w:val="0"/>
      <w:marBottom w:val="0"/>
      <w:divBdr>
        <w:top w:val="none" w:sz="0" w:space="0" w:color="auto"/>
        <w:left w:val="none" w:sz="0" w:space="0" w:color="auto"/>
        <w:bottom w:val="none" w:sz="0" w:space="0" w:color="auto"/>
        <w:right w:val="none" w:sz="0" w:space="0" w:color="auto"/>
      </w:divBdr>
    </w:div>
    <w:div w:id="1817795801">
      <w:bodyDiv w:val="1"/>
      <w:marLeft w:val="0"/>
      <w:marRight w:val="0"/>
      <w:marTop w:val="0"/>
      <w:marBottom w:val="0"/>
      <w:divBdr>
        <w:top w:val="none" w:sz="0" w:space="0" w:color="auto"/>
        <w:left w:val="none" w:sz="0" w:space="0" w:color="auto"/>
        <w:bottom w:val="none" w:sz="0" w:space="0" w:color="auto"/>
        <w:right w:val="none" w:sz="0" w:space="0" w:color="auto"/>
      </w:divBdr>
    </w:div>
    <w:div w:id="1982272905">
      <w:bodyDiv w:val="1"/>
      <w:marLeft w:val="0"/>
      <w:marRight w:val="0"/>
      <w:marTop w:val="0"/>
      <w:marBottom w:val="0"/>
      <w:divBdr>
        <w:top w:val="none" w:sz="0" w:space="0" w:color="auto"/>
        <w:left w:val="none" w:sz="0" w:space="0" w:color="auto"/>
        <w:bottom w:val="none" w:sz="0" w:space="0" w:color="auto"/>
        <w:right w:val="none" w:sz="0" w:space="0" w:color="auto"/>
      </w:divBdr>
    </w:div>
    <w:div w:id="20499859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ecca\Desktop\150324_SRB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A43BC25537E497438F749B49454AC72B" ma:contentTypeVersion="35" ma:contentTypeDescription="Create a new document in this library." ma:contentTypeScope="" ma:versionID="8fcdc1ba18cb4d706834744991339694">
  <xsd:schema xmlns:xsd="http://www.w3.org/2001/XMLSchema" xmlns:xs="http://www.w3.org/2001/XMLSchema" xmlns:p="http://schemas.microsoft.com/office/2006/metadata/properties" xmlns:ns3="2d99d92f-24b8-40bc-857f-01659c29f5b9" xmlns:ns4="2d3f7154-300c-4df4-8215-1bc8a683cd75" targetNamespace="http://schemas.microsoft.com/office/2006/metadata/properties" ma:root="true" ma:fieldsID="e3c6233a537f84bc6109ed60aa4d9eda" ns3:_="" ns4:_="">
    <xsd:import namespace="2d99d92f-24b8-40bc-857f-01659c29f5b9"/>
    <xsd:import namespace="2d3f7154-300c-4df4-8215-1bc8a683cd75"/>
    <xsd:element name="properties">
      <xsd:complexType>
        <xsd:sequence>
          <xsd:element name="documentManagement">
            <xsd:complexType>
              <xsd:all>
                <xsd:element ref="ns3:EC_Collab_Reference" minOccurs="0"/>
                <xsd:element ref="ns3:EC_Collab_DocumentLanguage"/>
                <xsd:element ref="ns3:EC_Collab_Status"/>
                <xsd:element ref="ns4:fe1e379ae185499f968b54a99aa2f245" minOccurs="0"/>
                <xsd:element ref="ns4:TaxCatchAll" minOccurs="0"/>
                <xsd:element ref="ns4:SRBYearcontr" minOccurs="0"/>
                <xsd:element ref="ns4:SRBCategorycontr" minOccurs="0"/>
                <xsd:element ref="ns4:SRBCountrycontr" minOccurs="0"/>
                <xsd:element ref="ns4:SRBDataClassification"/>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9d92f-24b8-40bc-857f-01659c29f5b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ma:readOnly="false">
      <xsd:simpleType>
        <xsd:restriction base="dms:Text"/>
      </xsd:simpleType>
    </xsd:element>
    <xsd:element name="EC_Collab_DocumentLanguage" ma:index="13" ma:displayName="Language" ma:default="EN" ma:format="Dropdow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format="Dropdown" ma:internalName="EC_Collab_Status" ma:readOnly="false">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2d3f7154-300c-4df4-8215-1bc8a683cd75" elementFormDefault="qualified">
    <xsd:import namespace="http://schemas.microsoft.com/office/2006/documentManagement/types"/>
    <xsd:import namespace="http://schemas.microsoft.com/office/infopath/2007/PartnerControls"/>
    <xsd:element name="fe1e379ae185499f968b54a99aa2f245" ma:index="16" ma:taxonomy="true" ma:internalName="fe1e379ae185499f968b54a99aa2f245" ma:taxonomyFieldName="SRBFilePlan" ma:displayName="File Plan" ma:default="" ma:fieldId="{fe1e379a-e185-499f-968b-54a99aa2f245}" ma:sspId="02fcca73-72a7-4dba-99f8-a05cf81f9b45" ma:termSetId="1acf73b5-acbc-49d4-b98d-de637d1baddc" ma:anchorId="2726f9ce-a89e-4956-abd9-ced7dc37907c" ma:open="false" ma:isKeyword="false">
      <xsd:complexType>
        <xsd:sequence>
          <xsd:element ref="pc:Terms" minOccurs="0" maxOccurs="1"/>
        </xsd:sequence>
      </xsd:complexType>
    </xsd:element>
    <xsd:element name="TaxCatchAll" ma:index="17" nillable="true" ma:displayName="Taxonomy Catch All Column" ma:description="" ma:hidden="true" ma:list="{a91d9345-ee2a-44b1-8c41-b2c3a3988bbb}" ma:internalName="TaxCatchAll" ma:showField="CatchAllData" ma:web="2d3f7154-300c-4df4-8215-1bc8a683cd75">
      <xsd:complexType>
        <xsd:complexContent>
          <xsd:extension base="dms:MultiChoiceLookup">
            <xsd:sequence>
              <xsd:element name="Value" type="dms:Lookup" maxOccurs="unbounded" minOccurs="0" nillable="true"/>
            </xsd:sequence>
          </xsd:extension>
        </xsd:complexContent>
      </xsd:complexType>
    </xsd:element>
    <xsd:element name="SRBYearcontr" ma:index="18" nillable="true" ma:displayName="Year" ma:format="Dropdown" ma:internalName="SRBYearcontr">
      <xsd:simpleType>
        <xsd:restriction base="dms:Choice">
          <xsd:enumeration value="2015"/>
          <xsd:enumeration value="2016"/>
          <xsd:enumeration value="2017"/>
          <xsd:enumeration value="2018"/>
          <xsd:enumeration value="2019"/>
          <xsd:enumeration value="2020"/>
        </xsd:restriction>
      </xsd:simpleType>
    </xsd:element>
    <xsd:element name="SRBCategorycontr" ma:index="19" nillable="true" ma:displayName="Category" ma:default="" ma:internalName="SRBCategorycontr">
      <xsd:simpleType>
        <xsd:restriction base="dms:Choice">
          <xsd:enumeration value="DGS"/>
          <xsd:enumeration value="Executive Session"/>
          <xsd:enumeration value="FCCC"/>
          <xsd:enumeration value="IGA Waterfall"/>
          <xsd:enumeration value="Legal Texts"/>
          <xsd:enumeration value="Management Meeting"/>
          <xsd:enumeration value="Plenary Session"/>
          <xsd:enumeration value="Public Bridge Financing"/>
        </xsd:restriction>
      </xsd:simpleType>
    </xsd:element>
    <xsd:element name="SRBCountrycontr" ma:index="20" nillable="true" ma:displayName="Country" ma:default="" ma:internalName="SRBCountrycontr">
      <xsd:simpleType>
        <xsd:restriction base="dms:Choice">
          <xsd:enumeration value="Austria"/>
          <xsd:enumeration value="Belgium"/>
          <xsd:enumeration value="China"/>
          <xsd:enumeration value="Cyprus"/>
          <xsd:enumeration value="Denmark"/>
          <xsd:enumeration value="Estonia"/>
          <xsd:enumeration value="Finland"/>
          <xsd:enumeration value="France"/>
          <xsd:enumeration value="Germany"/>
          <xsd:enumeration value="Greece"/>
          <xsd:enumeration value="Ireland"/>
          <xsd:enumeration value="Italy"/>
          <xsd:enumeration value="Japan"/>
          <xsd:enumeration value="Korea"/>
          <xsd:enumeration value="Latvia"/>
          <xsd:enumeration value="Lithuania"/>
          <xsd:enumeration value="Luxembourg"/>
          <xsd:enumeration value="Malta"/>
          <xsd:enumeration value="Mexico"/>
          <xsd:enumeration value="n/a"/>
          <xsd:enumeration value="Netherlands"/>
          <xsd:enumeration value="Poland"/>
          <xsd:enumeration value="Portugal"/>
          <xsd:enumeration value="Romania"/>
          <xsd:enumeration value="Slovakia"/>
          <xsd:enumeration value="Slovenia"/>
          <xsd:enumeration value="Spain"/>
          <xsd:enumeration value="United Kingdom"/>
          <xsd:enumeration value="United States"/>
        </xsd:restriction>
      </xsd:simpleType>
    </xsd:element>
    <xsd:element name="SRBDataClassification" ma:index="21" ma:displayName="Data Classification" ma:default="" ma:internalName="SRBDataClassification">
      <xsd:simpleType>
        <xsd:restriction base="dms:Choice">
          <xsd:enumeration value="SRB-BLUE"/>
          <xsd:enumeration value="SRB-GREEN"/>
          <xsd:enumeration value="SRB-ORANGE"/>
          <xsd:enumeration value="SRB-RED"/>
          <xsd:enumeration value="SRB-YELLOW"/>
        </xsd:restriction>
      </xsd:simpleType>
    </xsd:element>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B4EC-4D4C-4BBC-805B-8E72882DA476}">
  <ds:schemaRefs>
    <ds:schemaRef ds:uri="http://schemas.microsoft.com/sharepoint/v3/contenttype/forms"/>
  </ds:schemaRefs>
</ds:datastoreItem>
</file>

<file path=customXml/itemProps2.xml><?xml version="1.0" encoding="utf-8"?>
<ds:datastoreItem xmlns:ds="http://schemas.openxmlformats.org/officeDocument/2006/customXml" ds:itemID="{3F8DA4E9-C4B0-4FFA-86C0-56698D3EC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9d92f-24b8-40bc-857f-01659c29f5b9"/>
    <ds:schemaRef ds:uri="2d3f7154-300c-4df4-8215-1bc8a683c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0DB21-6C4A-4EAA-8026-70B687D4E8AF}">
  <ds:schemaRefs>
    <ds:schemaRef ds:uri="http://schemas.microsoft.com/office/2006/metadata/longProperties"/>
  </ds:schemaRefs>
</ds:datastoreItem>
</file>

<file path=customXml/itemProps4.xml><?xml version="1.0" encoding="utf-8"?>
<ds:datastoreItem xmlns:ds="http://schemas.openxmlformats.org/officeDocument/2006/customXml" ds:itemID="{25677F9D-E1F7-4A38-B809-E8885243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150324_SRB_general</Template>
  <TotalTime>4</TotalTime>
  <Pages>22</Pages>
  <Words>4191</Words>
  <Characters>23892</Characters>
  <Application>Microsoft Office Word</Application>
  <DocSecurity>4</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Word Document Template</vt:lpstr>
      <vt:lpstr>Word Document Template</vt:lpstr>
    </vt:vector>
  </TitlesOfParts>
  <Company>European Commission</Company>
  <LinksUpToDate>false</LinksUpToDate>
  <CharactersWithSpaces>28027</CharactersWithSpaces>
  <SharedDoc>false</SharedDoc>
  <HLinks>
    <vt:vector size="18" baseType="variant">
      <vt:variant>
        <vt:i4>6422574</vt:i4>
      </vt:variant>
      <vt:variant>
        <vt:i4>6</vt:i4>
      </vt:variant>
      <vt:variant>
        <vt:i4>0</vt:i4>
      </vt:variant>
      <vt:variant>
        <vt:i4>5</vt:i4>
      </vt:variant>
      <vt:variant>
        <vt:lpwstr/>
      </vt:variant>
      <vt:variant>
        <vt:lpwstr>_3._Sign-off</vt:lpwstr>
      </vt:variant>
      <vt:variant>
        <vt:i4>3080315</vt:i4>
      </vt:variant>
      <vt:variant>
        <vt:i4>3</vt:i4>
      </vt:variant>
      <vt:variant>
        <vt:i4>0</vt:i4>
      </vt:variant>
      <vt:variant>
        <vt:i4>5</vt:i4>
      </vt:variant>
      <vt:variant>
        <vt:lpwstr/>
      </vt:variant>
      <vt:variant>
        <vt:lpwstr>_Agreed-upon_procedures</vt:lpwstr>
      </vt:variant>
      <vt:variant>
        <vt:i4>6488149</vt:i4>
      </vt:variant>
      <vt:variant>
        <vt:i4>0</vt:i4>
      </vt:variant>
      <vt:variant>
        <vt:i4>0</vt:i4>
      </vt:variant>
      <vt:variant>
        <vt:i4>5</vt:i4>
      </vt:variant>
      <vt:variant>
        <vt:lpwstr/>
      </vt:variant>
      <vt:variant>
        <vt:lpwstr>_1._Additional_assurance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Word Document Template</dc:subject>
  <dc:creator>DE REDE Camille (SRB)</dc:creator>
  <cp:keywords>Macintosh HD:Users:norbert_wurzel:Desktop:</cp:keywords>
  <cp:lastModifiedBy>Fulvio Testa</cp:lastModifiedBy>
  <cp:revision>2</cp:revision>
  <cp:lastPrinted>2019-09-17T05:36:00Z</cp:lastPrinted>
  <dcterms:created xsi:type="dcterms:W3CDTF">2020-11-11T16:14:00Z</dcterms:created>
  <dcterms:modified xsi:type="dcterms:W3CDTF">2020-11-11T16:14:00Z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_Collab_DocumentLanguage">
    <vt:lpwstr>EN</vt:lpwstr>
  </property>
  <property fmtid="{D5CDD505-2E9C-101B-9397-08002B2CF9AE}" pid="3" name="EC_Collab_Reference">
    <vt:lpwstr/>
  </property>
  <property fmtid="{D5CDD505-2E9C-101B-9397-08002B2CF9AE}" pid="4" name="EC_Collab_Status">
    <vt:lpwstr>Not Started</vt:lpwstr>
  </property>
  <property fmtid="{D5CDD505-2E9C-101B-9397-08002B2CF9AE}" pid="5" name="_Status">
    <vt:lpwstr>Not Started</vt:lpwstr>
  </property>
  <property fmtid="{D5CDD505-2E9C-101B-9397-08002B2CF9AE}" pid="6" name="ContentTypeId">
    <vt:lpwstr>0x010100258AA79CEB83498886A3A08681123250002FF7265E543A2145A378271E2BCABD97</vt:lpwstr>
  </property>
  <property fmtid="{D5CDD505-2E9C-101B-9397-08002B2CF9AE}" pid="7" name="display_urn:schemas-microsoft-com:office:office#Editor">
    <vt:lpwstr>MERTENS Ruben</vt:lpwstr>
  </property>
  <property fmtid="{D5CDD505-2E9C-101B-9397-08002B2CF9AE}" pid="8" name="display_urn:schemas-microsoft-com:office:office#Author">
    <vt:lpwstr>NUBLAT Mike ADM</vt:lpwstr>
  </property>
  <property fmtid="{D5CDD505-2E9C-101B-9397-08002B2CF9AE}" pid="9" name="SRBCategorycontr">
    <vt:lpwstr>Management Meeting</vt:lpwstr>
  </property>
  <property fmtid="{D5CDD505-2E9C-101B-9397-08002B2CF9AE}" pid="10" name="SRBYearcontr">
    <vt:lpwstr>2019</vt:lpwstr>
  </property>
  <property fmtid="{D5CDD505-2E9C-101B-9397-08002B2CF9AE}" pid="11" name="SRBDataClassification">
    <vt:lpwstr>SRB-YELLOW</vt:lpwstr>
  </property>
  <property fmtid="{D5CDD505-2E9C-101B-9397-08002B2CF9AE}" pid="12" name="SRBFilePlan">
    <vt:lpwstr>14;#11.01.020.010 Contributions - Meetings and Minutes|33c08e14-5bff-4da7-9d60-aecead41a118</vt:lpwstr>
  </property>
  <property fmtid="{D5CDD505-2E9C-101B-9397-08002B2CF9AE}" pid="13" name="fe1e379ae185499f968b54a99aa2f245">
    <vt:lpwstr>11.01.020.010 Contributions - Meetings and Minutes|33c08e14-5bff-4da7-9d60-aecead41a118</vt:lpwstr>
  </property>
  <property fmtid="{D5CDD505-2E9C-101B-9397-08002B2CF9AE}" pid="14" name="TaxCatchAll">
    <vt:lpwstr>14;#11.01.020.010 Contributions - Meetings and Minutes|33c08e14-5bff-4da7-9d60-aecead41a118</vt:lpwstr>
  </property>
  <property fmtid="{D5CDD505-2E9C-101B-9397-08002B2CF9AE}" pid="15" name="SRBCountrycontr">
    <vt:lpwstr/>
  </property>
</Properties>
</file>